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9D" w:rsidRDefault="00AA419D" w:rsidP="00AA419D">
      <w:pPr>
        <w:pStyle w:val="ConsPlusNormal"/>
        <w:jc w:val="right"/>
        <w:outlineLvl w:val="1"/>
      </w:pPr>
      <w:r>
        <w:t>Приложение N 1</w:t>
      </w:r>
    </w:p>
    <w:p w:rsidR="00AA419D" w:rsidRDefault="00AA419D" w:rsidP="00AA419D">
      <w:pPr>
        <w:pStyle w:val="ConsPlusNormal"/>
        <w:jc w:val="right"/>
      </w:pPr>
      <w:r>
        <w:t>к Порядку</w:t>
      </w:r>
    </w:p>
    <w:p w:rsidR="00AA419D" w:rsidRDefault="00AA419D" w:rsidP="00AA419D">
      <w:pPr>
        <w:pStyle w:val="ConsPlusNormal"/>
        <w:jc w:val="right"/>
      </w:pPr>
      <w:r>
        <w:t>предоставления субсидий в рамках</w:t>
      </w:r>
    </w:p>
    <w:p w:rsidR="00AA419D" w:rsidRDefault="00AA419D" w:rsidP="00AA419D">
      <w:pPr>
        <w:pStyle w:val="ConsPlusNormal"/>
        <w:jc w:val="right"/>
      </w:pPr>
      <w:r>
        <w:t>реализации областной государственной</w:t>
      </w:r>
    </w:p>
    <w:p w:rsidR="00AA419D" w:rsidRDefault="00AA419D" w:rsidP="00AA419D">
      <w:pPr>
        <w:pStyle w:val="ConsPlusNormal"/>
        <w:jc w:val="right"/>
      </w:pPr>
      <w:r>
        <w:t>программы "Развитие сельского</w:t>
      </w:r>
    </w:p>
    <w:p w:rsidR="00AA419D" w:rsidRDefault="00AA419D" w:rsidP="00AA419D">
      <w:pPr>
        <w:pStyle w:val="ConsPlusNormal"/>
        <w:jc w:val="right"/>
      </w:pPr>
      <w:r>
        <w:t>хозяйства и регулирование рынков</w:t>
      </w:r>
    </w:p>
    <w:p w:rsidR="00AA419D" w:rsidRDefault="00AA419D" w:rsidP="00AA419D">
      <w:pPr>
        <w:pStyle w:val="ConsPlusNormal"/>
        <w:jc w:val="right"/>
      </w:pPr>
      <w:r>
        <w:t>сельскохозяйственной продукции,</w:t>
      </w:r>
    </w:p>
    <w:p w:rsidR="00AA419D" w:rsidRDefault="00AA419D" w:rsidP="00AA419D">
      <w:pPr>
        <w:pStyle w:val="ConsPlusNormal"/>
        <w:jc w:val="right"/>
      </w:pPr>
      <w:r>
        <w:t>сырья и продовольствия в Смоленской</w:t>
      </w:r>
    </w:p>
    <w:p w:rsidR="00AA419D" w:rsidRDefault="00AA419D" w:rsidP="00AA419D">
      <w:pPr>
        <w:pStyle w:val="ConsPlusNormal"/>
        <w:jc w:val="right"/>
      </w:pPr>
      <w:r>
        <w:t>области" организациям, индивидуальным</w:t>
      </w:r>
    </w:p>
    <w:p w:rsidR="00AA419D" w:rsidRDefault="00AA419D" w:rsidP="00AA419D">
      <w:pPr>
        <w:pStyle w:val="ConsPlusNormal"/>
        <w:jc w:val="right"/>
      </w:pPr>
      <w:r>
        <w:t>предпринимателям, осуществляющим промышленную</w:t>
      </w:r>
    </w:p>
    <w:p w:rsidR="00AA419D" w:rsidRDefault="00AA419D" w:rsidP="00AA419D">
      <w:pPr>
        <w:pStyle w:val="ConsPlusNormal"/>
        <w:jc w:val="right"/>
      </w:pPr>
      <w:r>
        <w:t>переработку сельскохозяйственной продукции,</w:t>
      </w:r>
    </w:p>
    <w:p w:rsidR="00AA419D" w:rsidRDefault="00AA419D" w:rsidP="00AA419D">
      <w:pPr>
        <w:pStyle w:val="ConsPlusNormal"/>
        <w:jc w:val="right"/>
      </w:pPr>
      <w:r>
        <w:t>на возмещение части затрат на приобретение</w:t>
      </w:r>
    </w:p>
    <w:p w:rsidR="00AA419D" w:rsidRDefault="00AA419D" w:rsidP="00AA419D">
      <w:pPr>
        <w:pStyle w:val="ConsPlusNormal"/>
        <w:jc w:val="right"/>
      </w:pPr>
      <w:r>
        <w:t>оборудования в целях создания и (или)</w:t>
      </w:r>
    </w:p>
    <w:p w:rsidR="00AA419D" w:rsidRDefault="00AA419D" w:rsidP="00AA419D">
      <w:pPr>
        <w:pStyle w:val="ConsPlusNormal"/>
        <w:jc w:val="right"/>
      </w:pPr>
      <w:r>
        <w:t>модернизации производства</w:t>
      </w:r>
    </w:p>
    <w:p w:rsidR="00AA419D" w:rsidRDefault="00AA419D" w:rsidP="00AA419D">
      <w:pPr>
        <w:pStyle w:val="ConsPlusNormal"/>
        <w:jc w:val="right"/>
      </w:pPr>
      <w:r>
        <w:t>молочной продукции</w:t>
      </w:r>
    </w:p>
    <w:p w:rsidR="00AA419D" w:rsidRDefault="00AA419D" w:rsidP="00AA419D">
      <w:pPr>
        <w:pStyle w:val="ConsPlusNormal"/>
        <w:jc w:val="both"/>
      </w:pPr>
    </w:p>
    <w:p w:rsidR="00AA419D" w:rsidRDefault="00AA419D" w:rsidP="00AA419D">
      <w:pPr>
        <w:pStyle w:val="ConsPlusTitle"/>
        <w:jc w:val="center"/>
      </w:pPr>
      <w:bookmarkStart w:id="0" w:name="P239"/>
      <w:bookmarkEnd w:id="0"/>
      <w:r>
        <w:t>ПЕРЕЧЕНЬ</w:t>
      </w:r>
    </w:p>
    <w:p w:rsidR="00AA419D" w:rsidRDefault="00AA419D" w:rsidP="00AA419D">
      <w:pPr>
        <w:pStyle w:val="ConsPlusTitle"/>
        <w:jc w:val="center"/>
      </w:pPr>
      <w:r>
        <w:t>ОБОРУДОВАНИЯ ДЛЯ СОЗДАНИЯ И (ИЛИ) МОДЕРНИЗАЦИИ</w:t>
      </w:r>
    </w:p>
    <w:p w:rsidR="00AA419D" w:rsidRDefault="00AA419D" w:rsidP="00AA419D">
      <w:pPr>
        <w:pStyle w:val="ConsPlusTitle"/>
        <w:jc w:val="center"/>
      </w:pPr>
      <w:r>
        <w:t>ПРОИЗВОДСТВА МОЛОЧНОЙ ПРОДУКЦИИ</w:t>
      </w:r>
    </w:p>
    <w:p w:rsidR="00AA419D" w:rsidRDefault="00AA419D" w:rsidP="00AA419D">
      <w:pPr>
        <w:pStyle w:val="ConsPlusNormal"/>
        <w:jc w:val="both"/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6066"/>
        <w:gridCol w:w="1587"/>
      </w:tblGrid>
      <w:tr w:rsidR="00AA419D" w:rsidTr="0051139C">
        <w:tc>
          <w:tcPr>
            <w:tcW w:w="141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 xml:space="preserve">Код по </w:t>
            </w:r>
            <w:hyperlink r:id="rId4">
              <w:r>
                <w:rPr>
                  <w:color w:val="0000FF"/>
                </w:rPr>
                <w:t>ОКОФ</w:t>
              </w:r>
            </w:hyperlink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Наименование группировки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Предельный размер субсидии на приобретение оборудования за 1 единицу (рублей)</w:t>
            </w:r>
          </w:p>
        </w:tc>
      </w:tr>
      <w:tr w:rsidR="00AA419D" w:rsidTr="0051139C">
        <w:tc>
          <w:tcPr>
            <w:tcW w:w="141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3</w:t>
            </w:r>
          </w:p>
        </w:tc>
      </w:tr>
      <w:tr w:rsidR="00AA419D" w:rsidTr="0051139C">
        <w:tc>
          <w:tcPr>
            <w:tcW w:w="1417" w:type="dxa"/>
            <w:vMerge w:val="restart"/>
          </w:tcPr>
          <w:p w:rsidR="00AA419D" w:rsidRDefault="00AA419D" w:rsidP="0051139C">
            <w:pPr>
              <w:pStyle w:val="ConsPlusNormal"/>
              <w:jc w:val="both"/>
            </w:pPr>
            <w:hyperlink r:id="rId5">
              <w:r>
                <w:rPr>
                  <w:color w:val="0000FF"/>
                </w:rPr>
                <w:t>330.25.30.11</w:t>
              </w:r>
            </w:hyperlink>
          </w:p>
        </w:tc>
        <w:tc>
          <w:tcPr>
            <w:tcW w:w="6066" w:type="dxa"/>
            <w:tcBorders>
              <w:bottom w:val="nil"/>
            </w:tcBorders>
          </w:tcPr>
          <w:p w:rsidR="00AA419D" w:rsidRDefault="00AA419D" w:rsidP="0051139C">
            <w:pPr>
              <w:pStyle w:val="ConsPlusNormal"/>
              <w:jc w:val="both"/>
            </w:pPr>
            <w:r>
              <w:t xml:space="preserve">Котлы паровые и котлы </w:t>
            </w:r>
            <w:proofErr w:type="spellStart"/>
            <w:r>
              <w:t>паропроизводящие</w:t>
            </w:r>
            <w:proofErr w:type="spellEnd"/>
            <w:r>
              <w:t xml:space="preserve"> прочие; котлы, работающие с высокотемпературными органическими теплоносителями (ВОТ):</w:t>
            </w:r>
          </w:p>
        </w:tc>
        <w:tc>
          <w:tcPr>
            <w:tcW w:w="1587" w:type="dxa"/>
            <w:tcBorders>
              <w:bottom w:val="nil"/>
            </w:tcBorders>
          </w:tcPr>
          <w:p w:rsidR="00AA419D" w:rsidRDefault="00AA419D" w:rsidP="0051139C">
            <w:pPr>
              <w:pStyle w:val="ConsPlusNormal"/>
            </w:pPr>
          </w:p>
        </w:tc>
      </w:tr>
      <w:tr w:rsidR="00AA419D" w:rsidTr="0051139C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AA419D" w:rsidRDefault="00AA419D" w:rsidP="0051139C">
            <w:pPr>
              <w:pStyle w:val="ConsPlusNormal"/>
              <w:jc w:val="both"/>
            </w:pPr>
            <w:r>
              <w:t>производительностью от 90 до 700 кВт в час включительно;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AA419D" w:rsidRDefault="00AA419D" w:rsidP="0051139C">
            <w:pPr>
              <w:pStyle w:val="ConsPlusNormal"/>
              <w:jc w:val="center"/>
            </w:pPr>
            <w:r>
              <w:t>760000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</w:tcPr>
          <w:p w:rsidR="00AA419D" w:rsidRDefault="00AA419D" w:rsidP="0051139C">
            <w:pPr>
              <w:pStyle w:val="ConsPlusNormal"/>
              <w:jc w:val="both"/>
            </w:pPr>
            <w:proofErr w:type="spellStart"/>
            <w:r>
              <w:t>паропроизводительностью</w:t>
            </w:r>
            <w:proofErr w:type="spellEnd"/>
            <w:r>
              <w:t xml:space="preserve"> от 720 кг в час</w:t>
            </w:r>
          </w:p>
        </w:tc>
        <w:tc>
          <w:tcPr>
            <w:tcW w:w="1587" w:type="dxa"/>
            <w:tcBorders>
              <w:top w:val="nil"/>
            </w:tcBorders>
          </w:tcPr>
          <w:p w:rsidR="00AA419D" w:rsidRDefault="00AA419D" w:rsidP="0051139C">
            <w:pPr>
              <w:pStyle w:val="ConsPlusNormal"/>
              <w:jc w:val="center"/>
            </w:pPr>
            <w:r>
              <w:t>1200000</w:t>
            </w:r>
          </w:p>
        </w:tc>
      </w:tr>
      <w:tr w:rsidR="00AA419D" w:rsidTr="0051139C">
        <w:tc>
          <w:tcPr>
            <w:tcW w:w="1417" w:type="dxa"/>
          </w:tcPr>
          <w:p w:rsidR="00AA419D" w:rsidRDefault="00AA419D" w:rsidP="0051139C">
            <w:pPr>
              <w:pStyle w:val="ConsPlusNormal"/>
              <w:jc w:val="both"/>
            </w:pPr>
            <w:hyperlink r:id="rId6">
              <w:r>
                <w:rPr>
                  <w:color w:val="0000FF"/>
                </w:rPr>
                <w:t>330.26.51.66</w:t>
              </w:r>
            </w:hyperlink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r>
              <w:t>Инструменты, приборы и машины для измерения или контроля, не включенные в другие группировки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400000</w:t>
            </w:r>
          </w:p>
        </w:tc>
      </w:tr>
      <w:tr w:rsidR="00AA419D" w:rsidTr="0051139C">
        <w:tc>
          <w:tcPr>
            <w:tcW w:w="1417" w:type="dxa"/>
          </w:tcPr>
          <w:p w:rsidR="00AA419D" w:rsidRDefault="00AA419D" w:rsidP="0051139C">
            <w:pPr>
              <w:pStyle w:val="ConsPlusNormal"/>
              <w:jc w:val="both"/>
            </w:pPr>
            <w:hyperlink r:id="rId7">
              <w:r>
                <w:rPr>
                  <w:color w:val="0000FF"/>
                </w:rPr>
                <w:t>330.28.13.14</w:t>
              </w:r>
            </w:hyperlink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r>
              <w:t>Насосы центробежные подачи жидкостей прочие; насосы прочие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1500000</w:t>
            </w:r>
          </w:p>
        </w:tc>
      </w:tr>
      <w:tr w:rsidR="00AA419D" w:rsidTr="0051139C">
        <w:tc>
          <w:tcPr>
            <w:tcW w:w="1417" w:type="dxa"/>
          </w:tcPr>
          <w:p w:rsidR="00AA419D" w:rsidRDefault="00AA419D" w:rsidP="0051139C">
            <w:pPr>
              <w:pStyle w:val="ConsPlusNormal"/>
              <w:jc w:val="both"/>
            </w:pPr>
            <w:hyperlink r:id="rId8">
              <w:r>
                <w:rPr>
                  <w:color w:val="0000FF"/>
                </w:rPr>
                <w:t>330.28.13.21</w:t>
              </w:r>
            </w:hyperlink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r>
              <w:t>Насосы вакуумные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1500000</w:t>
            </w:r>
          </w:p>
        </w:tc>
      </w:tr>
      <w:tr w:rsidR="00AA419D" w:rsidTr="0051139C">
        <w:tc>
          <w:tcPr>
            <w:tcW w:w="1417" w:type="dxa"/>
            <w:vMerge w:val="restart"/>
          </w:tcPr>
          <w:p w:rsidR="00AA419D" w:rsidRDefault="00AA419D" w:rsidP="0051139C">
            <w:pPr>
              <w:pStyle w:val="ConsPlusNormal"/>
              <w:jc w:val="both"/>
            </w:pPr>
            <w:hyperlink r:id="rId9">
              <w:r>
                <w:rPr>
                  <w:color w:val="0000FF"/>
                </w:rPr>
                <w:t>330.28.13.23</w:t>
              </w:r>
            </w:hyperlink>
          </w:p>
        </w:tc>
        <w:tc>
          <w:tcPr>
            <w:tcW w:w="6066" w:type="dxa"/>
            <w:tcBorders>
              <w:bottom w:val="nil"/>
            </w:tcBorders>
          </w:tcPr>
          <w:p w:rsidR="00AA419D" w:rsidRDefault="00AA419D" w:rsidP="0051139C">
            <w:pPr>
              <w:pStyle w:val="ConsPlusNormal"/>
              <w:jc w:val="both"/>
            </w:pPr>
            <w:r>
              <w:t>Компрессоры для холодильного оборудования:</w:t>
            </w:r>
          </w:p>
        </w:tc>
        <w:tc>
          <w:tcPr>
            <w:tcW w:w="1587" w:type="dxa"/>
            <w:tcBorders>
              <w:bottom w:val="nil"/>
            </w:tcBorders>
          </w:tcPr>
          <w:p w:rsidR="00AA419D" w:rsidRDefault="00AA419D" w:rsidP="0051139C">
            <w:pPr>
              <w:pStyle w:val="ConsPlusNormal"/>
            </w:pPr>
          </w:p>
        </w:tc>
      </w:tr>
      <w:tr w:rsidR="00AA419D" w:rsidTr="0051139C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AA419D" w:rsidRDefault="00AA419D" w:rsidP="0051139C">
            <w:pPr>
              <w:pStyle w:val="ConsPlusNormal"/>
              <w:jc w:val="both"/>
            </w:pPr>
            <w:r>
              <w:t>потребляемой электрической мощностью от 30 до 50 кВт в час включительно;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AA419D" w:rsidRDefault="00AA419D" w:rsidP="0051139C">
            <w:pPr>
              <w:pStyle w:val="ConsPlusNormal"/>
              <w:jc w:val="center"/>
            </w:pPr>
            <w:r>
              <w:t>500000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</w:tcPr>
          <w:p w:rsidR="00AA419D" w:rsidRDefault="00AA419D" w:rsidP="0051139C">
            <w:pPr>
              <w:pStyle w:val="ConsPlusNormal"/>
              <w:jc w:val="both"/>
            </w:pPr>
            <w:r>
              <w:t>потребляемой электрической мощностью более 50 кВт в час</w:t>
            </w:r>
          </w:p>
        </w:tc>
        <w:tc>
          <w:tcPr>
            <w:tcW w:w="1587" w:type="dxa"/>
            <w:tcBorders>
              <w:top w:val="nil"/>
            </w:tcBorders>
          </w:tcPr>
          <w:p w:rsidR="00AA419D" w:rsidRDefault="00AA419D" w:rsidP="0051139C">
            <w:pPr>
              <w:pStyle w:val="ConsPlusNormal"/>
              <w:jc w:val="center"/>
            </w:pPr>
            <w:r>
              <w:t>1500000</w:t>
            </w:r>
          </w:p>
        </w:tc>
      </w:tr>
      <w:tr w:rsidR="00AA419D" w:rsidTr="0051139C">
        <w:tc>
          <w:tcPr>
            <w:tcW w:w="1417" w:type="dxa"/>
            <w:vMerge w:val="restart"/>
          </w:tcPr>
          <w:p w:rsidR="00AA419D" w:rsidRDefault="00AA419D" w:rsidP="0051139C">
            <w:pPr>
              <w:pStyle w:val="ConsPlusNormal"/>
              <w:jc w:val="both"/>
            </w:pPr>
            <w:hyperlink r:id="rId10">
              <w:r>
                <w:rPr>
                  <w:color w:val="0000FF"/>
                </w:rPr>
                <w:t>330.28.25.12</w:t>
              </w:r>
            </w:hyperlink>
          </w:p>
        </w:tc>
        <w:tc>
          <w:tcPr>
            <w:tcW w:w="6066" w:type="dxa"/>
            <w:tcBorders>
              <w:bottom w:val="nil"/>
            </w:tcBorders>
          </w:tcPr>
          <w:p w:rsidR="00AA419D" w:rsidRDefault="00AA419D" w:rsidP="0051139C">
            <w:pPr>
              <w:pStyle w:val="ConsPlusNormal"/>
              <w:jc w:val="both"/>
            </w:pPr>
            <w:r>
              <w:t>Оборудование для кондиционирования воздуха:</w:t>
            </w:r>
          </w:p>
        </w:tc>
        <w:tc>
          <w:tcPr>
            <w:tcW w:w="1587" w:type="dxa"/>
            <w:tcBorders>
              <w:bottom w:val="nil"/>
            </w:tcBorders>
          </w:tcPr>
          <w:p w:rsidR="00AA419D" w:rsidRDefault="00AA419D" w:rsidP="0051139C">
            <w:pPr>
              <w:pStyle w:val="ConsPlusNormal"/>
            </w:pPr>
          </w:p>
        </w:tc>
      </w:tr>
      <w:tr w:rsidR="00AA419D" w:rsidTr="0051139C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AA419D" w:rsidRDefault="00AA419D" w:rsidP="0051139C">
            <w:pPr>
              <w:pStyle w:val="ConsPlusNormal"/>
              <w:jc w:val="both"/>
            </w:pPr>
            <w:r>
              <w:t>потребляемой электрической мощностью от 1 до 5 кВт в час;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AA419D" w:rsidRDefault="00AA419D" w:rsidP="0051139C">
            <w:pPr>
              <w:pStyle w:val="ConsPlusNormal"/>
              <w:jc w:val="center"/>
            </w:pPr>
            <w:r>
              <w:t>120000</w:t>
            </w:r>
          </w:p>
        </w:tc>
      </w:tr>
      <w:tr w:rsidR="00AA419D" w:rsidTr="0051139C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AA419D" w:rsidRDefault="00AA419D" w:rsidP="0051139C">
            <w:pPr>
              <w:pStyle w:val="ConsPlusNormal"/>
              <w:jc w:val="both"/>
            </w:pPr>
            <w:r>
              <w:t>потребляемой электрической мощностью от 5 до 15 кВт в час;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AA419D" w:rsidRDefault="00AA419D" w:rsidP="0051139C">
            <w:pPr>
              <w:pStyle w:val="ConsPlusNormal"/>
              <w:jc w:val="center"/>
            </w:pPr>
            <w:r>
              <w:t>840000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</w:tcPr>
          <w:p w:rsidR="00AA419D" w:rsidRDefault="00AA419D" w:rsidP="0051139C">
            <w:pPr>
              <w:pStyle w:val="ConsPlusNormal"/>
              <w:jc w:val="both"/>
            </w:pPr>
            <w:r>
              <w:t>потребляемой электрической мощностью от 15 кВт в час включительно и свыше</w:t>
            </w:r>
          </w:p>
        </w:tc>
        <w:tc>
          <w:tcPr>
            <w:tcW w:w="1587" w:type="dxa"/>
            <w:tcBorders>
              <w:top w:val="nil"/>
            </w:tcBorders>
          </w:tcPr>
          <w:p w:rsidR="00AA419D" w:rsidRDefault="00AA419D" w:rsidP="0051139C">
            <w:pPr>
              <w:pStyle w:val="ConsPlusNormal"/>
              <w:jc w:val="center"/>
            </w:pPr>
            <w:r>
              <w:t>1300000</w:t>
            </w:r>
          </w:p>
        </w:tc>
      </w:tr>
      <w:tr w:rsidR="00AA419D" w:rsidTr="0051139C">
        <w:tc>
          <w:tcPr>
            <w:tcW w:w="1417" w:type="dxa"/>
            <w:vMerge w:val="restart"/>
          </w:tcPr>
          <w:p w:rsidR="00AA419D" w:rsidRDefault="00AA419D" w:rsidP="0051139C">
            <w:pPr>
              <w:pStyle w:val="ConsPlusNormal"/>
              <w:jc w:val="both"/>
            </w:pPr>
            <w:hyperlink r:id="rId11">
              <w:r>
                <w:rPr>
                  <w:color w:val="0000FF"/>
                </w:rPr>
                <w:t>330.28.25.13</w:t>
              </w:r>
            </w:hyperlink>
          </w:p>
        </w:tc>
        <w:tc>
          <w:tcPr>
            <w:tcW w:w="6066" w:type="dxa"/>
            <w:tcBorders>
              <w:bottom w:val="nil"/>
            </w:tcBorders>
          </w:tcPr>
          <w:p w:rsidR="00AA419D" w:rsidRDefault="00AA419D" w:rsidP="0051139C">
            <w:pPr>
              <w:pStyle w:val="ConsPlusNormal"/>
              <w:jc w:val="both"/>
            </w:pPr>
            <w:r>
              <w:t>Оборудование холодильное и морозильное и тепловые насосы, кроме бытового оборудования:</w:t>
            </w:r>
          </w:p>
        </w:tc>
        <w:tc>
          <w:tcPr>
            <w:tcW w:w="1587" w:type="dxa"/>
            <w:tcBorders>
              <w:bottom w:val="nil"/>
            </w:tcBorders>
          </w:tcPr>
          <w:p w:rsidR="00AA419D" w:rsidRDefault="00AA419D" w:rsidP="0051139C">
            <w:pPr>
              <w:pStyle w:val="ConsPlusNormal"/>
            </w:pPr>
          </w:p>
        </w:tc>
      </w:tr>
      <w:tr w:rsidR="00AA419D" w:rsidTr="0051139C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AA419D" w:rsidRDefault="00AA419D" w:rsidP="0051139C">
            <w:pPr>
              <w:pStyle w:val="ConsPlusNormal"/>
              <w:jc w:val="both"/>
            </w:pPr>
            <w:r>
              <w:t>потребляемой электрической мощностью от 3 до 15 кВт в час включительно;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AA419D" w:rsidRDefault="00AA419D" w:rsidP="0051139C">
            <w:pPr>
              <w:pStyle w:val="ConsPlusNormal"/>
              <w:jc w:val="center"/>
            </w:pPr>
            <w:r>
              <w:t>1700000</w:t>
            </w:r>
          </w:p>
        </w:tc>
      </w:tr>
      <w:tr w:rsidR="00AA419D" w:rsidTr="0051139C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AA419D" w:rsidRDefault="00AA419D" w:rsidP="0051139C">
            <w:pPr>
              <w:pStyle w:val="ConsPlusNormal"/>
              <w:jc w:val="both"/>
            </w:pPr>
            <w:r>
              <w:t>потребляемой электрической мощностью более 15 и менее 100 кВт в час;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AA419D" w:rsidRDefault="00AA419D" w:rsidP="0051139C">
            <w:pPr>
              <w:pStyle w:val="ConsPlusNormal"/>
              <w:jc w:val="center"/>
            </w:pPr>
            <w:r>
              <w:t>2000000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</w:tcPr>
          <w:p w:rsidR="00AA419D" w:rsidRDefault="00AA419D" w:rsidP="0051139C">
            <w:pPr>
              <w:pStyle w:val="ConsPlusNormal"/>
              <w:jc w:val="both"/>
            </w:pPr>
            <w:r>
              <w:t>потребляемой электрической мощностью от 100 кВт в час и свыше</w:t>
            </w:r>
          </w:p>
        </w:tc>
        <w:tc>
          <w:tcPr>
            <w:tcW w:w="1587" w:type="dxa"/>
            <w:tcBorders>
              <w:top w:val="nil"/>
            </w:tcBorders>
          </w:tcPr>
          <w:p w:rsidR="00AA419D" w:rsidRDefault="00AA419D" w:rsidP="0051139C">
            <w:pPr>
              <w:pStyle w:val="ConsPlusNormal"/>
              <w:jc w:val="center"/>
            </w:pPr>
            <w:r>
              <w:t>4300000</w:t>
            </w:r>
          </w:p>
        </w:tc>
      </w:tr>
      <w:tr w:rsidR="00AA419D" w:rsidTr="0051139C">
        <w:tc>
          <w:tcPr>
            <w:tcW w:w="1417" w:type="dxa"/>
            <w:vMerge w:val="restart"/>
          </w:tcPr>
          <w:p w:rsidR="00AA419D" w:rsidRDefault="00AA419D" w:rsidP="0051139C">
            <w:pPr>
              <w:pStyle w:val="ConsPlusNormal"/>
              <w:jc w:val="both"/>
            </w:pPr>
            <w:hyperlink r:id="rId12">
              <w:r>
                <w:rPr>
                  <w:color w:val="0000FF"/>
                </w:rPr>
                <w:t>330.28.29.12</w:t>
              </w:r>
            </w:hyperlink>
          </w:p>
        </w:tc>
        <w:tc>
          <w:tcPr>
            <w:tcW w:w="6066" w:type="dxa"/>
            <w:tcBorders>
              <w:bottom w:val="nil"/>
            </w:tcBorders>
          </w:tcPr>
          <w:p w:rsidR="00AA419D" w:rsidRDefault="00AA419D" w:rsidP="0051139C">
            <w:pPr>
              <w:pStyle w:val="ConsPlusNormal"/>
              <w:jc w:val="both"/>
            </w:pPr>
            <w:r>
              <w:t>Оборудование и установки для фильтрования или очистки жидкостей:</w:t>
            </w:r>
          </w:p>
        </w:tc>
        <w:tc>
          <w:tcPr>
            <w:tcW w:w="1587" w:type="dxa"/>
            <w:tcBorders>
              <w:bottom w:val="nil"/>
            </w:tcBorders>
          </w:tcPr>
          <w:p w:rsidR="00AA419D" w:rsidRDefault="00AA419D" w:rsidP="0051139C">
            <w:pPr>
              <w:pStyle w:val="ConsPlusNormal"/>
            </w:pPr>
          </w:p>
        </w:tc>
      </w:tr>
      <w:tr w:rsidR="00AA419D" w:rsidTr="0051139C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AA419D" w:rsidRDefault="00AA419D" w:rsidP="0051139C">
            <w:pPr>
              <w:pStyle w:val="ConsPlusNormal"/>
              <w:jc w:val="both"/>
            </w:pPr>
            <w:r>
              <w:t>потребляемой электрической мощностью от 0,1 до 0,4 кВт в час включительно;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AA419D" w:rsidRDefault="00AA419D" w:rsidP="0051139C">
            <w:pPr>
              <w:pStyle w:val="ConsPlusNormal"/>
              <w:jc w:val="center"/>
            </w:pPr>
            <w:r>
              <w:t>30000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</w:tcPr>
          <w:p w:rsidR="00AA419D" w:rsidRDefault="00AA419D" w:rsidP="0051139C">
            <w:pPr>
              <w:pStyle w:val="ConsPlusNormal"/>
              <w:jc w:val="both"/>
            </w:pPr>
            <w:r>
              <w:t>потребляемой электрической мощностью более 0,4 кВт в час</w:t>
            </w:r>
          </w:p>
        </w:tc>
        <w:tc>
          <w:tcPr>
            <w:tcW w:w="1587" w:type="dxa"/>
            <w:tcBorders>
              <w:top w:val="nil"/>
            </w:tcBorders>
          </w:tcPr>
          <w:p w:rsidR="00AA419D" w:rsidRDefault="00AA419D" w:rsidP="0051139C">
            <w:pPr>
              <w:pStyle w:val="ConsPlusNormal"/>
              <w:jc w:val="center"/>
            </w:pPr>
            <w:r>
              <w:t>110000</w:t>
            </w:r>
          </w:p>
        </w:tc>
      </w:tr>
      <w:tr w:rsidR="00AA419D" w:rsidTr="0051139C">
        <w:tc>
          <w:tcPr>
            <w:tcW w:w="1417" w:type="dxa"/>
            <w:vMerge w:val="restart"/>
          </w:tcPr>
          <w:p w:rsidR="00AA419D" w:rsidRDefault="00AA419D" w:rsidP="0051139C">
            <w:pPr>
              <w:pStyle w:val="ConsPlusNormal"/>
              <w:jc w:val="both"/>
            </w:pPr>
            <w:hyperlink r:id="rId13">
              <w:r>
                <w:rPr>
                  <w:color w:val="0000FF"/>
                </w:rPr>
                <w:t>330.28.93.12</w:t>
              </w:r>
            </w:hyperlink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r>
              <w:t>Оборудование для обработки и переработки молока: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</w:pP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r>
              <w:t>емкость для приема, хранения и переработки жидких молочных продуктов максимальной вместительностью до 60 куб. метров включительно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3500000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r>
              <w:t>вертикальный цилиндрический сосуд с коническими донышками вверху и внизу и корпусом с теплоизолированным покрытием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900000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r>
              <w:t>пластинчатые охладители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900000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proofErr w:type="spellStart"/>
            <w:r>
              <w:t>молокоохладитель</w:t>
            </w:r>
            <w:proofErr w:type="spellEnd"/>
            <w:r>
              <w:t xml:space="preserve"> максимальной вместимостью от 3000 литров и свыше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900000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r>
              <w:t xml:space="preserve">установка </w:t>
            </w:r>
            <w:proofErr w:type="spellStart"/>
            <w:r>
              <w:t>пастеризационно</w:t>
            </w:r>
            <w:proofErr w:type="spellEnd"/>
            <w:r>
              <w:t>-охладительная производительностью от 5000 кг/литров в час включительно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7000000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r>
              <w:t>пастеризационные ванны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600000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r>
              <w:t>аппарат для выработки сырного зерна (сыроизготовитель) емкостью от 0,5 куб. метра включительно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1600000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r>
              <w:t>сепаратор производительностью от 2 тонн в час включительно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5300000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proofErr w:type="spellStart"/>
            <w:r>
              <w:t>бактофуга</w:t>
            </w:r>
            <w:proofErr w:type="spellEnd"/>
            <w:r>
              <w:t xml:space="preserve"> производительностью от 5 тонн в час включительно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6000000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r>
              <w:t>гомогенизатор производительностью от 100 кг в час включительно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4500000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r>
              <w:t xml:space="preserve">автомат для </w:t>
            </w:r>
            <w:proofErr w:type="spellStart"/>
            <w:r>
              <w:t>чеддеризации</w:t>
            </w:r>
            <w:proofErr w:type="spellEnd"/>
            <w:r>
              <w:t xml:space="preserve"> сырной массы производительностью от 90 кг в час включительно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4500000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r>
              <w:t xml:space="preserve">автомат для </w:t>
            </w:r>
            <w:proofErr w:type="spellStart"/>
            <w:r>
              <w:t>выдува</w:t>
            </w:r>
            <w:proofErr w:type="spellEnd"/>
            <w:r>
              <w:t xml:space="preserve"> </w:t>
            </w:r>
            <w:proofErr w:type="spellStart"/>
            <w:r>
              <w:t>полиэтилентерефталатовой</w:t>
            </w:r>
            <w:proofErr w:type="spellEnd"/>
            <w:r>
              <w:t xml:space="preserve"> тары производительностью от 2000 бутылок в час включительно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4800000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r>
              <w:t>ванна длительной пастеризации (ванна сквашивания для творога) вместительностью до 2 куб. метров включительно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600000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r>
              <w:t>фасовочное и упаковочное оборудование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7500000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r>
              <w:t xml:space="preserve">оборудование для </w:t>
            </w:r>
            <w:proofErr w:type="spellStart"/>
            <w:r>
              <w:t>этикетирования</w:t>
            </w:r>
            <w:proofErr w:type="spellEnd"/>
            <w:r>
              <w:t xml:space="preserve"> (оборудование для нанесения и считывания средств идентификации, внедрения аппаратного обеспечения и программных продуктов для целей маркировки средствами идентификации отдельных видов молочной продукции (коды Общероссийского классификатора продукции по видам экономической деятельности </w:t>
            </w:r>
            <w:hyperlink r:id="rId14">
              <w:r>
                <w:rPr>
                  <w:color w:val="0000FF"/>
                </w:rPr>
                <w:t>10.51.11</w:t>
              </w:r>
            </w:hyperlink>
            <w:r>
              <w:t xml:space="preserve">, </w:t>
            </w:r>
            <w:hyperlink r:id="rId15">
              <w:r>
                <w:rPr>
                  <w:color w:val="0000FF"/>
                </w:rPr>
                <w:t>10.51.12</w:t>
              </w:r>
            </w:hyperlink>
            <w:r>
              <w:t xml:space="preserve">, </w:t>
            </w:r>
            <w:hyperlink r:id="rId16">
              <w:r>
                <w:rPr>
                  <w:color w:val="0000FF"/>
                </w:rPr>
                <w:t>10.51.21</w:t>
              </w:r>
            </w:hyperlink>
            <w:r>
              <w:t xml:space="preserve">, </w:t>
            </w:r>
            <w:hyperlink r:id="rId17">
              <w:r>
                <w:rPr>
                  <w:color w:val="0000FF"/>
                </w:rPr>
                <w:t>10.51.22</w:t>
              </w:r>
            </w:hyperlink>
            <w:r>
              <w:t xml:space="preserve">, </w:t>
            </w:r>
            <w:hyperlink r:id="rId18">
              <w:r>
                <w:rPr>
                  <w:color w:val="0000FF"/>
                </w:rPr>
                <w:t>10.51.30</w:t>
              </w:r>
            </w:hyperlink>
            <w:r>
              <w:t xml:space="preserve">, </w:t>
            </w:r>
            <w:hyperlink r:id="rId19">
              <w:r>
                <w:rPr>
                  <w:color w:val="0000FF"/>
                </w:rPr>
                <w:t>10.51.40</w:t>
              </w:r>
            </w:hyperlink>
            <w:r>
              <w:t xml:space="preserve">, </w:t>
            </w:r>
            <w:hyperlink r:id="rId20">
              <w:r>
                <w:rPr>
                  <w:color w:val="0000FF"/>
                </w:rPr>
                <w:t>10.51.51</w:t>
              </w:r>
            </w:hyperlink>
            <w:r>
              <w:t xml:space="preserve">, </w:t>
            </w:r>
            <w:hyperlink r:id="rId21">
              <w:r>
                <w:rPr>
                  <w:color w:val="0000FF"/>
                </w:rPr>
                <w:t>10.51.52</w:t>
              </w:r>
            </w:hyperlink>
            <w:r>
              <w:t xml:space="preserve">, </w:t>
            </w:r>
            <w:hyperlink r:id="rId22">
              <w:r>
                <w:rPr>
                  <w:color w:val="0000FF"/>
                </w:rPr>
                <w:t>10.51.55</w:t>
              </w:r>
            </w:hyperlink>
            <w:r>
              <w:t xml:space="preserve">, </w:t>
            </w:r>
            <w:hyperlink r:id="rId23">
              <w:r>
                <w:rPr>
                  <w:color w:val="0000FF"/>
                </w:rPr>
                <w:t>10.51.56</w:t>
              </w:r>
            </w:hyperlink>
            <w:r>
              <w:t xml:space="preserve">, </w:t>
            </w:r>
            <w:hyperlink r:id="rId24">
              <w:r>
                <w:rPr>
                  <w:color w:val="0000FF"/>
                </w:rPr>
                <w:t>10.86.10.110</w:t>
              </w:r>
            </w:hyperlink>
            <w:r>
              <w:t xml:space="preserve">, </w:t>
            </w:r>
            <w:hyperlink r:id="rId25">
              <w:r>
                <w:rPr>
                  <w:color w:val="0000FF"/>
                </w:rPr>
                <w:t>10.86.10.140</w:t>
              </w:r>
            </w:hyperlink>
            <w:r>
              <w:t xml:space="preserve">, </w:t>
            </w:r>
            <w:hyperlink r:id="rId26">
              <w:r>
                <w:rPr>
                  <w:color w:val="0000FF"/>
                </w:rPr>
                <w:t>10.86.10.190</w:t>
              </w:r>
            </w:hyperlink>
            <w:r>
              <w:t>)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1300000</w:t>
            </w:r>
          </w:p>
        </w:tc>
      </w:tr>
      <w:tr w:rsidR="00AA419D" w:rsidTr="0051139C">
        <w:tc>
          <w:tcPr>
            <w:tcW w:w="1417" w:type="dxa"/>
            <w:vMerge/>
          </w:tcPr>
          <w:p w:rsidR="00AA419D" w:rsidRDefault="00AA419D" w:rsidP="0051139C">
            <w:pPr>
              <w:pStyle w:val="ConsPlusNormal"/>
            </w:pPr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r>
              <w:t xml:space="preserve">прочее оборудование для обработки и переработки молочной продукции (оборудование для лаборатории, оборудование для камеры созревания сыров, блок мойки сыра, сырные формы, стеллажи, </w:t>
            </w:r>
            <w:proofErr w:type="spellStart"/>
            <w:r>
              <w:t>маслоизготовители</w:t>
            </w:r>
            <w:proofErr w:type="spellEnd"/>
            <w:r>
              <w:t xml:space="preserve">, </w:t>
            </w:r>
            <w:proofErr w:type="spellStart"/>
            <w:r>
              <w:t>маслообразователи</w:t>
            </w:r>
            <w:proofErr w:type="spellEnd"/>
            <w:r>
              <w:t xml:space="preserve">, куттеры, отделители сыворотки, лотки для сбора сыворотки, оборудование для сушки сыров, бассейны </w:t>
            </w:r>
            <w:proofErr w:type="spellStart"/>
            <w:r>
              <w:t>посолки</w:t>
            </w:r>
            <w:proofErr w:type="spellEnd"/>
            <w:r>
              <w:t xml:space="preserve"> сыров, блоки подготовки горячей воды, площадки-сыроизготовители, смесители для восстановления сухого молока, установки мойки, пресс-тележки, установки прессования и охлаждения творога, теплообменные аппараты, тележки, площадки обслуживания, трубопроводы и арматура, туннельные прессы, </w:t>
            </w:r>
            <w:proofErr w:type="spellStart"/>
            <w:r>
              <w:t>распрессовщики</w:t>
            </w:r>
            <w:proofErr w:type="spellEnd"/>
            <w:r>
              <w:t xml:space="preserve"> форм, линия обработки "</w:t>
            </w:r>
            <w:proofErr w:type="spellStart"/>
            <w:r>
              <w:t>Антиплесень</w:t>
            </w:r>
            <w:proofErr w:type="spellEnd"/>
            <w:r>
              <w:t>")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6000000</w:t>
            </w:r>
          </w:p>
        </w:tc>
      </w:tr>
      <w:tr w:rsidR="00AA419D" w:rsidTr="0051139C">
        <w:tc>
          <w:tcPr>
            <w:tcW w:w="1417" w:type="dxa"/>
          </w:tcPr>
          <w:p w:rsidR="00AA419D" w:rsidRDefault="00AA419D" w:rsidP="0051139C">
            <w:pPr>
              <w:pStyle w:val="ConsPlusNormal"/>
              <w:jc w:val="both"/>
            </w:pPr>
            <w:hyperlink r:id="rId27">
              <w:r>
                <w:rPr>
                  <w:color w:val="0000FF"/>
                </w:rPr>
                <w:t>330.28.93.17</w:t>
              </w:r>
            </w:hyperlink>
          </w:p>
        </w:tc>
        <w:tc>
          <w:tcPr>
            <w:tcW w:w="6066" w:type="dxa"/>
          </w:tcPr>
          <w:p w:rsidR="00AA419D" w:rsidRDefault="00AA419D" w:rsidP="0051139C">
            <w:pPr>
              <w:pStyle w:val="ConsPlusNormal"/>
              <w:jc w:val="both"/>
            </w:pPr>
            <w:r>
              <w:t>Оборудование для промышленной переработки или производства пищевых продуктов или напитков, включая жиры и масла, не включенное в другие группировки</w:t>
            </w:r>
          </w:p>
        </w:tc>
        <w:tc>
          <w:tcPr>
            <w:tcW w:w="1587" w:type="dxa"/>
          </w:tcPr>
          <w:p w:rsidR="00AA419D" w:rsidRDefault="00AA419D" w:rsidP="0051139C">
            <w:pPr>
              <w:pStyle w:val="ConsPlusNormal"/>
              <w:jc w:val="center"/>
            </w:pPr>
            <w:r>
              <w:t>6000000</w:t>
            </w:r>
          </w:p>
        </w:tc>
      </w:tr>
    </w:tbl>
    <w:p w:rsidR="00AA419D" w:rsidRDefault="00AA419D" w:rsidP="00AA419D">
      <w:pPr>
        <w:pStyle w:val="ConsPlusNormal"/>
        <w:jc w:val="both"/>
      </w:pPr>
    </w:p>
    <w:p w:rsidR="003B2D16" w:rsidRDefault="00AA419D"/>
    <w:sectPr w:rsidR="003B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9D"/>
    <w:rsid w:val="004256B2"/>
    <w:rsid w:val="00AA419D"/>
    <w:rsid w:val="00A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BC0F1-0576-4ECE-8A87-3B9DDF96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1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41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730&amp;dst=101396" TargetMode="External"/><Relationship Id="rId13" Type="http://schemas.openxmlformats.org/officeDocument/2006/relationships/hyperlink" Target="https://login.consultant.ru/link/?req=doc&amp;base=LAW&amp;n=471730&amp;dst=102266" TargetMode="External"/><Relationship Id="rId18" Type="http://schemas.openxmlformats.org/officeDocument/2006/relationships/hyperlink" Target="https://login.consultant.ru/link/?req=doc&amp;base=LAW&amp;n=471655&amp;dst=105923" TargetMode="External"/><Relationship Id="rId26" Type="http://schemas.openxmlformats.org/officeDocument/2006/relationships/hyperlink" Target="https://login.consultant.ru/link/?req=doc&amp;base=LAW&amp;n=471655&amp;dst=1379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1655&amp;dst=106093" TargetMode="External"/><Relationship Id="rId7" Type="http://schemas.openxmlformats.org/officeDocument/2006/relationships/hyperlink" Target="https://login.consultant.ru/link/?req=doc&amp;base=LAW&amp;n=471730&amp;dst=101388" TargetMode="External"/><Relationship Id="rId12" Type="http://schemas.openxmlformats.org/officeDocument/2006/relationships/hyperlink" Target="https://login.consultant.ru/link/?req=doc&amp;base=LAW&amp;n=471730&amp;dst=101724" TargetMode="External"/><Relationship Id="rId17" Type="http://schemas.openxmlformats.org/officeDocument/2006/relationships/hyperlink" Target="https://login.consultant.ru/link/?req=doc&amp;base=LAW&amp;n=471655&amp;dst=105891" TargetMode="External"/><Relationship Id="rId25" Type="http://schemas.openxmlformats.org/officeDocument/2006/relationships/hyperlink" Target="https://login.consultant.ru/link/?req=doc&amp;base=LAW&amp;n=471655&amp;dst=1379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655&amp;dst=105885" TargetMode="External"/><Relationship Id="rId20" Type="http://schemas.openxmlformats.org/officeDocument/2006/relationships/hyperlink" Target="https://login.consultant.ru/link/?req=doc&amp;base=LAW&amp;n=471655&amp;dst=10605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730&amp;dst=101268" TargetMode="External"/><Relationship Id="rId11" Type="http://schemas.openxmlformats.org/officeDocument/2006/relationships/hyperlink" Target="https://login.consultant.ru/link/?req=doc&amp;base=LAW&amp;n=471730&amp;dst=101654" TargetMode="External"/><Relationship Id="rId24" Type="http://schemas.openxmlformats.org/officeDocument/2006/relationships/hyperlink" Target="https://login.consultant.ru/link/?req=doc&amp;base=LAW&amp;n=471655&amp;dst=137954" TargetMode="External"/><Relationship Id="rId5" Type="http://schemas.openxmlformats.org/officeDocument/2006/relationships/hyperlink" Target="https://login.consultant.ru/link/?req=doc&amp;base=LAW&amp;n=471730&amp;dst=103563" TargetMode="External"/><Relationship Id="rId15" Type="http://schemas.openxmlformats.org/officeDocument/2006/relationships/hyperlink" Target="https://login.consultant.ru/link/?req=doc&amp;base=LAW&amp;n=471655&amp;dst=105865" TargetMode="External"/><Relationship Id="rId23" Type="http://schemas.openxmlformats.org/officeDocument/2006/relationships/hyperlink" Target="https://login.consultant.ru/link/?req=doc&amp;base=LAW&amp;n=471655&amp;dst=1356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1730&amp;dst=101646" TargetMode="External"/><Relationship Id="rId19" Type="http://schemas.openxmlformats.org/officeDocument/2006/relationships/hyperlink" Target="https://login.consultant.ru/link/?req=doc&amp;base=LAW&amp;n=471655&amp;dst=140443" TargetMode="External"/><Relationship Id="rId4" Type="http://schemas.openxmlformats.org/officeDocument/2006/relationships/hyperlink" Target="https://login.consultant.ru/link/?req=doc&amp;base=LAW&amp;n=471730" TargetMode="External"/><Relationship Id="rId9" Type="http://schemas.openxmlformats.org/officeDocument/2006/relationships/hyperlink" Target="https://login.consultant.ru/link/?req=doc&amp;base=LAW&amp;n=471730&amp;dst=101400" TargetMode="External"/><Relationship Id="rId14" Type="http://schemas.openxmlformats.org/officeDocument/2006/relationships/hyperlink" Target="https://login.consultant.ru/link/?req=doc&amp;base=LAW&amp;n=471655&amp;dst=105853" TargetMode="External"/><Relationship Id="rId22" Type="http://schemas.openxmlformats.org/officeDocument/2006/relationships/hyperlink" Target="https://login.consultant.ru/link/?req=doc&amp;base=LAW&amp;n=471655&amp;dst=135564" TargetMode="External"/><Relationship Id="rId27" Type="http://schemas.openxmlformats.org/officeDocument/2006/relationships/hyperlink" Target="https://login.consultant.ru/link/?req=doc&amp;base=LAW&amp;n=471730&amp;dst=102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Киктев Александр Алексеевич</dc:creator>
  <cp:keywords/>
  <dc:description/>
  <cp:lastModifiedBy>Киктев Александр Алексеевич</cp:lastModifiedBy>
  <cp:revision>1</cp:revision>
  <dcterms:created xsi:type="dcterms:W3CDTF">2024-06-04T06:51:00Z</dcterms:created>
  <dcterms:modified xsi:type="dcterms:W3CDTF">2024-06-04T06:52:00Z</dcterms:modified>
</cp:coreProperties>
</file>