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8B" w:rsidRPr="004B2C4E" w:rsidRDefault="0069278B" w:rsidP="0069278B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B2C4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9278B" w:rsidRDefault="0069278B" w:rsidP="0069278B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2C4E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71AFF">
        <w:rPr>
          <w:rFonts w:ascii="Times New Roman" w:hAnsi="Times New Roman" w:cs="Times New Roman"/>
          <w:sz w:val="24"/>
          <w:szCs w:val="24"/>
        </w:rPr>
        <w:t xml:space="preserve">переработку молока и производство молочной продукции, </w:t>
      </w:r>
      <w:r w:rsidRPr="004B2C4E">
        <w:rPr>
          <w:rFonts w:ascii="Times New Roman" w:hAnsi="Times New Roman" w:cs="Times New Roman"/>
          <w:sz w:val="24"/>
          <w:szCs w:val="24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:rsidR="0069278B" w:rsidRPr="004B2C4E" w:rsidRDefault="0069278B" w:rsidP="0069278B">
      <w:pPr>
        <w:pStyle w:val="ConsPlusNonformat"/>
        <w:widowControl/>
        <w:tabs>
          <w:tab w:val="left" w:pos="148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278B" w:rsidRPr="00123818" w:rsidRDefault="0069278B" w:rsidP="006927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69278B" w:rsidRPr="00123818" w:rsidRDefault="0069278B" w:rsidP="006927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техники и размер субсидии на приобретение техники</w:t>
      </w:r>
    </w:p>
    <w:p w:rsidR="0069278B" w:rsidRDefault="0069278B" w:rsidP="006927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9278B" w:rsidRPr="004B2C4E" w:rsidRDefault="0069278B" w:rsidP="0069278B">
      <w:pPr>
        <w:spacing w:after="0" w:line="14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5699"/>
        <w:gridCol w:w="2004"/>
        <w:gridCol w:w="1638"/>
      </w:tblGrid>
      <w:tr w:rsidR="0069278B" w:rsidRPr="00123818" w:rsidTr="00B41077">
        <w:trPr>
          <w:tblHeader/>
        </w:trPr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123818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38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123818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38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техники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123818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38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Процент возмещения от стоимости техники (без учета НДС) к субсидированию</w:t>
            </w:r>
            <w:r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1</w:t>
            </w:r>
            <w:r w:rsidRPr="001238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 %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123818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38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Предельный размер субсидии за 1 единицу</w:t>
            </w:r>
            <w:r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1</w:t>
            </w:r>
            <w:r w:rsidRPr="001238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 рублей</w:t>
            </w:r>
          </w:p>
        </w:tc>
      </w:tr>
      <w:tr w:rsidR="0069278B" w:rsidRPr="004B2C4E" w:rsidTr="00B4107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278B" w:rsidRPr="004B2C4E" w:rsidRDefault="0069278B" w:rsidP="00B4107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1101"/>
            <w:r w:rsidRPr="004B2C4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1. Сельскохозяйственная техника для возделывания сельскохозяйственных культур</w:t>
            </w:r>
            <w:bookmarkEnd w:id="1"/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Фронтальные монтируемые погрузчики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Навесное оборудование для фронтальных погрузчиков (грейфер для рулонов с удлинителем стрелы, грейфер для рулонов с сопряженными рычагами, грейфер для рулонов, грейфер для рулонов многофункциональный, ковш челюстной, ковш, резак для силоса, грейфер для силоса, ковш грейферный, вилы для рулонов, вилы для соломы и навоза)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13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bookmarkEnd w:id="2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посевные комплексы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</w:t>
            </w:r>
          </w:p>
        </w:tc>
      </w:tr>
      <w:tr w:rsidR="0069278B" w:rsidRPr="009E4FBC" w:rsidTr="00B41077">
        <w:trPr>
          <w:trHeight w:val="276"/>
        </w:trPr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 сельскохозяйственные общего назначения и тракторы сельскохозяйственные универсально-пропашные: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мощностью двигателя от 80 до 110 лошадиных сил включительно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мощностью двигателя от 111 до 170 лошадиных сил включительно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мощностью двигателя от 171 и свыше лошадиных сил</w:t>
            </w:r>
          </w:p>
        </w:tc>
        <w:tc>
          <w:tcPr>
            <w:tcW w:w="9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Зерноуборочные комбайны, приспособления к зерноуборочным комбайнам (приставки)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15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4 500 000</w:t>
            </w:r>
            <w:bookmarkEnd w:id="3"/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Плуги общего назначения оборотные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Картофелеуборочные комбайны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Морковоуборочные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комбайны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 для уборки рапса (рапсовые столы)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посева однолетних и многолетних трав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 к зерноуборочным комбайнам для уборки семян однолетних и многолетних трав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69278B" w:rsidRPr="009E4FBC" w:rsidTr="00B41077">
        <w:trPr>
          <w:trHeight w:val="276"/>
        </w:trPr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Сеялки пропашные (сеялки точного высева, кукурузные сеялки):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</w:t>
            </w:r>
          </w:p>
        </w:tc>
      </w:tr>
      <w:tr w:rsidR="0069278B" w:rsidRPr="009E4FBC" w:rsidTr="00B41077">
        <w:trPr>
          <w:trHeight w:val="276"/>
        </w:trPr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Сеялки зерновые, зернотуковые (механические, пневматические, разбросные):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внесения минеральных и органических (твердых и жидких) удобрений (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мелиорантов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приготовления жидких комплексных удобрений (растворные узлы)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10116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  <w:bookmarkEnd w:id="4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для возделывания, уборки и послеуборочной доработки картофеля и овощей, оборудование для чистки, мойки, взвешивания, упаковки картофеля и овощей (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ботвоудалители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сеялки овощные, рассадопосадочные машины, транспортеры, машины для очистки, мойки, взвешивания, упаковки овощей,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гребнеобразователи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картофелекопатели, картофелесажалки, сортировки, пункты первичной обработки картофеля, конвейеры ленточные, приемные бункеры, самоходные вилочные погрузчики (автопогрузчики), ротаторы (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оборачиватели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контейнеров)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10117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  <w:bookmarkEnd w:id="5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для возделывания и уборки овощей закрытого грунта (опрыскиватели, опрыскивающие установки для растений, самоходные вилочные погрузчики (автопогрузчики)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10118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  <w:bookmarkEnd w:id="6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(или) оборудование для закладки и ухода за многолетними плодовыми насаждениями (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окучиватели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фрезы (приствольные, с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окучивателем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полольники,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щелерезы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посадки деревьев,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ямобуры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гидравлические,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столбоставы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гидравлическим смещением, штанги садовые, опрыскиватели, косилки-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измельчители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вертикальным расположением лезвий, с горизонтальным расположением лезвий), платформы для сбора фруктов, тележка садовая для перевозки урожая, вилочные погрузчики)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 для транспортировки рулонов, транспортировщики рулонов (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рулоновозы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Прицепы, полуприцепы (бункеры-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перегрузчики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прицепы тракторные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rPr>
          <w:trHeight w:val="276"/>
        </w:trPr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Опрыскиватели самоходные: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9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7500 000</w:t>
            </w:r>
          </w:p>
        </w:tc>
      </w:tr>
      <w:tr w:rsidR="0069278B" w:rsidRPr="009E4FBC" w:rsidTr="00B41077"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Опрыскиватели прицепные, навесные, полуприцепные: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Культиваторы (рыхлители (чизели), плоскорезы)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69278B" w:rsidRPr="009E4FBC" w:rsidTr="00B41077">
        <w:trPr>
          <w:trHeight w:val="276"/>
        </w:trPr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Бороны (дисковые, зубовые, сетчатые, ножевые, игольчатые, ротационные, шарнирные, пружинные,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штригельные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шлейф-бороны, диски мелиоративные):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1 700 000</w:t>
            </w:r>
          </w:p>
        </w:tc>
      </w:tr>
      <w:tr w:rsidR="0069278B" w:rsidRPr="009E4FBC" w:rsidTr="00B41077"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Зерносушилки, зерноочистительные, ворохоочистительные, калибровочные и сортировальные машины: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производительностью до 20 тонн в час включительно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производительностью свыше 21 тонны в час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Зернометатели</w:t>
            </w:r>
            <w:proofErr w:type="spellEnd"/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Протравочные машины производительностью до 30 тонн в час включительно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Катки (водоналивные, дисковые, игольчатые, колесные, кольцевые, кольчато-зубчатые, кольчато-шпоровые, планчатые, спиральные)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69278B" w:rsidRPr="009E4FBC" w:rsidTr="00B4107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7" w:name="sub_1102"/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2. Сельскохозяйственная техника для содержания и обслуживания сельскохозяйственных животных</w:t>
            </w:r>
            <w:bookmarkEnd w:id="7"/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Самоходные погрузчики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для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навозоудаления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животноводческих помещениях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Прицепные кормоуборочные комбайны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Косилки тракторные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Пресс-подборщики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Прицепы-подборщики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Грабли тракторные,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ворошилки</w:t>
            </w:r>
            <w:proofErr w:type="spellEnd"/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Обмотчики (упаковщики) рулонов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Плющилки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зерна, мини-заводы по производству комбинированных кормов (экструдеры для приготовления комбинированных кормов) (с максимальной производительностью не более 5 тонн в час)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69278B" w:rsidRPr="009E4FBC" w:rsidTr="00B41077"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Молокоохладители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закрытого типа (танки-охладители закрытого типа):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максимальной вместительностью до 3 000 литров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максимальной вместительностью от 3 000 до 6 000 литров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максимальной вместительностью свыше 6 000 литров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1211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  <w:bookmarkEnd w:id="8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Смесители кормов/Кормораздатчик-смеситель кормов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Кормораздатчики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Раздатчики-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выдуватели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соломы (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измельчители-выдуватели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соломы), резчики рулонов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1214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  <w:bookmarkEnd w:id="9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Самоходные кормоуборочные комбайны, в том числе приспособления к ним (жатки, платформы-подборщики, подборщики)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</w:t>
            </w:r>
          </w:p>
        </w:tc>
      </w:tr>
      <w:tr w:rsidR="0069278B" w:rsidRPr="009E4FBC" w:rsidTr="00B4107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0" w:name="sub_1103"/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3. Сельскохозяйственная техника для производства и (или) первичной переработки льна-долгунца</w:t>
            </w:r>
            <w:bookmarkEnd w:id="10"/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Сеялки льняные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Агрегаты, узлы и детали машин для уборки, первичной обработки зерновых, крупяных, зернобобовых и масличных культур (для сельскохозяйственных сушилок)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 сельскохозяйственные общего назначения и тракторы сельскохозяйственные универсально-пропашные с мощностью двигателя от 80 и свыше лошадиных сил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Зерноуборочные комбайны, в том числе приспособления к ним (жатки)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Адаптеры-приспособления к комбайнам для уборки семян льна-долгунца (жатки очесывающие)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sub_36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  <w:bookmarkEnd w:id="11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первичной переработки (обработки) льна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очистки и (или) послеуборочной доработки семян (зерна)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Сушилки для послеуборочной сушки зерна перед закладкой на хранение, оборудование для сушки льнотресты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sub_39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  <w:bookmarkEnd w:id="12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котонизации льняного волокна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Грабли тракторные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Теребилки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льна самоходные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Теребилки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льна прицепные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sub_313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  <w:bookmarkEnd w:id="13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Льноуборочные комбайны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Ворошилки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льна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Вспушиватели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льна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69278B" w:rsidRPr="009E4FBC" w:rsidTr="00B41077">
        <w:trPr>
          <w:trHeight w:val="276"/>
        </w:trPr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Подборщики-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оборачиватели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лент льна: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Оборачиватели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самоходные лент льна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Пресс-подборщики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3.19.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Пресс-подборщики льняные самоходные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7 000 000</w:t>
            </w:r>
          </w:p>
        </w:tc>
      </w:tr>
      <w:tr w:rsidR="0069278B" w:rsidRPr="009E4FBC" w:rsidTr="00B4107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4" w:name="sub_110161"/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4. Сельскохозяйственная техника для оснащения молочных товарных ферм</w:t>
            </w:r>
            <w:bookmarkEnd w:id="14"/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Роботизированные доильные системы, стационарные доильные залы для крупного рогатого скота и доильные установки, укомплектованные линейным молокопроводом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0F389E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sub_1042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bookmarkEnd w:id="15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Автоматические системы наблюдения за технологическим процессом на молочной ферме, включая системы управления стадом, системы идентификации животных, системы распознавания охоты, в том числе датчики для индивидуального учета животных, периферийное оборудование, программное обеспечение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0F389E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20 000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9278B" w:rsidRPr="009E4FBC" w:rsidTr="00B4107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6" w:name="sub_1105"/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5. Промышленная техника и оборудование для проведения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мероприятий на землях сельскохозяйственного назначения</w:t>
            </w:r>
            <w:bookmarkEnd w:id="16"/>
          </w:p>
        </w:tc>
      </w:tr>
      <w:tr w:rsidR="0069278B" w:rsidRPr="009E4FBC" w:rsidTr="00B41077">
        <w:tc>
          <w:tcPr>
            <w:tcW w:w="3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Мульчеры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ротоваторы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69278B" w:rsidRPr="009E4FBC" w:rsidTr="00B41077">
        <w:tc>
          <w:tcPr>
            <w:tcW w:w="3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Бульдозерные отвалы-корчеватели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69278B" w:rsidRPr="009E4FBC" w:rsidTr="00B4107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7" w:name="sub_1106"/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6. Оборудование для первичной и (или) глубокой переработки сельскохозяйственной продукции</w:t>
            </w:r>
            <w:bookmarkEnd w:id="17"/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sub_11061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bookmarkEnd w:id="18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 шелушения зерна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sub_11062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bookmarkEnd w:id="19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щеточные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sub_11063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  <w:bookmarkEnd w:id="20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по переработке масличных культур (рапс)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sub_11064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  <w:bookmarkEnd w:id="21"/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по переработке плодово-ягодного сырья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</w:t>
            </w:r>
          </w:p>
        </w:tc>
      </w:tr>
      <w:tr w:rsidR="0069278B" w:rsidRPr="009E4FBC" w:rsidTr="00B41077">
        <w:trPr>
          <w:trHeight w:val="276"/>
        </w:trPr>
        <w:tc>
          <w:tcPr>
            <w:tcW w:w="359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обработки и переработки молока (резервуары/ёмкости)</w:t>
            </w:r>
          </w:p>
        </w:tc>
        <w:tc>
          <w:tcPr>
            <w:tcW w:w="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</w:t>
            </w:r>
          </w:p>
        </w:tc>
      </w:tr>
      <w:tr w:rsidR="0069278B" w:rsidRPr="009E4FBC" w:rsidTr="00B4107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2" w:name="sub_1107"/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7. Оборудование для выращивания и содержания товарной рыбы</w:t>
            </w:r>
            <w:bookmarkEnd w:id="22"/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 рыболовные в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провязах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(узловые,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безузловые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0F389E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9278B" w:rsidRPr="009E4FBC" w:rsidTr="00B41077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Канатно-веревочное и </w:t>
            </w:r>
            <w:proofErr w:type="spellStart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сетеснастное</w:t>
            </w:r>
            <w:proofErr w:type="spellEnd"/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(сетные камеры)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69278B" w:rsidRPr="009E4FBC" w:rsidTr="00B41077">
        <w:trPr>
          <w:trHeight w:val="384"/>
        </w:trPr>
        <w:tc>
          <w:tcPr>
            <w:tcW w:w="5000" w:type="pct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8. Транспортные средства </w:t>
            </w:r>
          </w:p>
        </w:tc>
      </w:tr>
      <w:tr w:rsidR="0069278B" w:rsidRPr="009E4FBC" w:rsidTr="00B41077">
        <w:trPr>
          <w:trHeight w:val="276"/>
        </w:trPr>
        <w:tc>
          <w:tcPr>
            <w:tcW w:w="359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Молоковозы</w:t>
            </w:r>
          </w:p>
        </w:tc>
        <w:tc>
          <w:tcPr>
            <w:tcW w:w="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78B" w:rsidRPr="009E4FBC" w:rsidRDefault="0069278B" w:rsidP="00B41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</w:t>
            </w:r>
          </w:p>
        </w:tc>
      </w:tr>
    </w:tbl>
    <w:p w:rsidR="0069278B" w:rsidRPr="006B4491" w:rsidRDefault="0069278B" w:rsidP="006927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B449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:rsidR="0069278B" w:rsidRPr="006B4491" w:rsidRDefault="0069278B" w:rsidP="0069278B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  <w:strike/>
        </w:rPr>
      </w:pPr>
      <w:bookmarkStart w:id="23" w:name="P711"/>
      <w:bookmarkEnd w:id="23"/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р</w:t>
      </w:r>
      <w:r w:rsidRPr="006B4491">
        <w:rPr>
          <w:rFonts w:ascii="Times New Roman" w:hAnsi="Times New Roman" w:cs="Times New Roman"/>
        </w:rPr>
        <w:t>азмер субсидии на технику, произведенную на территории Смоленской области, равен 50 процентам от стоимости техники независимо от вида техники без учета предельного размера субсидии</w:t>
      </w:r>
      <w:r w:rsidRPr="006B4491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6B4491">
        <w:rPr>
          <w:rFonts w:ascii="Times New Roman" w:hAnsi="Times New Roman" w:cs="Times New Roman"/>
        </w:rPr>
        <w:t>за 1 единицу</w:t>
      </w:r>
      <w:r>
        <w:rPr>
          <w:rFonts w:ascii="Times New Roman" w:hAnsi="Times New Roman" w:cs="Times New Roman"/>
        </w:rPr>
        <w:t>;</w:t>
      </w:r>
    </w:p>
    <w:p w:rsidR="0069278B" w:rsidRPr="006B4491" w:rsidRDefault="0069278B" w:rsidP="0069278B">
      <w:pPr>
        <w:pStyle w:val="ConsPlusNonformat"/>
        <w:widowControl/>
        <w:tabs>
          <w:tab w:val="left" w:pos="148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п</w:t>
      </w:r>
      <w:r w:rsidRPr="006B4491">
        <w:rPr>
          <w:rFonts w:ascii="Times New Roman" w:hAnsi="Times New Roman" w:cs="Times New Roman"/>
        </w:rPr>
        <w:t>редельный размер субсидии на одну голову дойного стада, имеющуюся у получателя на 1 я</w:t>
      </w:r>
      <w:r>
        <w:rPr>
          <w:rFonts w:ascii="Times New Roman" w:hAnsi="Times New Roman" w:cs="Times New Roman"/>
        </w:rPr>
        <w:t>нваря текущего финансового года;</w:t>
      </w:r>
    </w:p>
    <w:p w:rsidR="0069278B" w:rsidRDefault="0069278B" w:rsidP="0069278B">
      <w:pPr>
        <w:pStyle w:val="ConsPlusNonformat"/>
        <w:widowControl/>
        <w:tabs>
          <w:tab w:val="left" w:pos="148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п</w:t>
      </w:r>
      <w:r w:rsidRPr="006B4491">
        <w:rPr>
          <w:rFonts w:ascii="Times New Roman" w:hAnsi="Times New Roman" w:cs="Times New Roman"/>
        </w:rPr>
        <w:t>редельный размер субсидии при приобретении дели за 1 килограмм веса.</w:t>
      </w:r>
    </w:p>
    <w:p w:rsidR="006C6150" w:rsidRDefault="006C6150"/>
    <w:sectPr w:rsidR="006C6150" w:rsidSect="0069278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B8"/>
    <w:rsid w:val="000463B8"/>
    <w:rsid w:val="001D4847"/>
    <w:rsid w:val="001E41A2"/>
    <w:rsid w:val="002E68B5"/>
    <w:rsid w:val="003B2275"/>
    <w:rsid w:val="003B5DB6"/>
    <w:rsid w:val="005216A5"/>
    <w:rsid w:val="005C4B14"/>
    <w:rsid w:val="0069278B"/>
    <w:rsid w:val="006C6150"/>
    <w:rsid w:val="00734BB6"/>
    <w:rsid w:val="008A40EE"/>
    <w:rsid w:val="00910098"/>
    <w:rsid w:val="00C51EB1"/>
    <w:rsid w:val="00C65E49"/>
    <w:rsid w:val="00E6506D"/>
    <w:rsid w:val="00E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1193C-D8AA-43E0-AC4C-1E45E3B0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27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2025-11-24T09:38:00Z</dcterms:created>
  <dcterms:modified xsi:type="dcterms:W3CDTF">2025-11-24T09:38:00Z</dcterms:modified>
</cp:coreProperties>
</file>