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A516" w14:textId="77777777" w:rsidR="00C8396B" w:rsidRDefault="00C8396B">
      <w:bookmarkStart w:id="0" w:name="_Toc342069526"/>
      <w:bookmarkStart w:id="1" w:name="_Toc342069546"/>
      <w:bookmarkStart w:id="2" w:name="_Toc342069600"/>
    </w:p>
    <w:p w14:paraId="59AB30AE" w14:textId="77777777" w:rsidR="00C8396B" w:rsidRDefault="00C8396B"/>
    <w:p w14:paraId="17776E70" w14:textId="77777777" w:rsidR="00C8396B" w:rsidRDefault="00C8396B"/>
    <w:p w14:paraId="5BD46F64" w14:textId="77777777" w:rsidR="00C8396B" w:rsidRDefault="00C8396B"/>
    <w:p w14:paraId="7FC22BB6" w14:textId="77777777" w:rsidR="00C8396B" w:rsidRDefault="00C8396B"/>
    <w:p w14:paraId="5713E3E5" w14:textId="77777777" w:rsidR="00C8396B" w:rsidRDefault="00C8396B"/>
    <w:p w14:paraId="311AAEEB" w14:textId="77777777" w:rsidR="00C8396B" w:rsidRDefault="00C8396B"/>
    <w:p w14:paraId="67B54855" w14:textId="77777777" w:rsidR="00C8396B" w:rsidRDefault="00C8396B"/>
    <w:p w14:paraId="30A4D25A" w14:textId="77777777" w:rsidR="00C8396B" w:rsidRDefault="00C8396B"/>
    <w:p w14:paraId="3E2688A2" w14:textId="77777777" w:rsidR="00C8396B" w:rsidRDefault="00C8396B"/>
    <w:p w14:paraId="675482B2" w14:textId="77777777" w:rsidR="00C8396B" w:rsidRDefault="00C8396B"/>
    <w:p w14:paraId="3026CA52" w14:textId="77777777" w:rsidR="00C8396B" w:rsidRDefault="00C8396B"/>
    <w:p w14:paraId="5B2C7598" w14:textId="77777777" w:rsidR="00C8396B" w:rsidRDefault="00C8396B"/>
    <w:p w14:paraId="53A81ED6" w14:textId="77777777" w:rsidR="00C8396B" w:rsidRDefault="00C8396B"/>
    <w:p w14:paraId="73B3D0AE" w14:textId="77777777" w:rsidR="00C8396B" w:rsidRDefault="00C8396B"/>
    <w:p w14:paraId="5459945A" w14:textId="77777777" w:rsidR="00C8396B" w:rsidRDefault="00C8396B"/>
    <w:p w14:paraId="0B9D2554" w14:textId="77777777" w:rsidR="00C8396B" w:rsidRDefault="00C8396B"/>
    <w:p w14:paraId="26ADB8D2" w14:textId="77777777" w:rsidR="00C8396B" w:rsidRDefault="00C8396B"/>
    <w:p w14:paraId="719817B1" w14:textId="77777777" w:rsidR="00C8396B" w:rsidRDefault="00C8396B"/>
    <w:p w14:paraId="72D1E579" w14:textId="77777777" w:rsidR="00C8396B" w:rsidRDefault="00C8396B"/>
    <w:p w14:paraId="795D3CAD" w14:textId="77777777" w:rsidR="00C8396B" w:rsidRDefault="00C8396B"/>
    <w:p w14:paraId="08EDC471" w14:textId="77777777" w:rsidR="00C8396B" w:rsidRDefault="00C8396B"/>
    <w:p w14:paraId="2495E5D0"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259E3056"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40B10991" w14:textId="77777777" w:rsidR="00D47282" w:rsidRDefault="00D47282" w:rsidP="00D47282">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21.09.2021 – 07:00 22.09.20</w:t>
      </w:r>
      <w:bookmarkEnd w:id="3"/>
      <w:r>
        <w:rPr>
          <w:rFonts w:ascii="Times New Roman" w:hAnsi="Times New Roman"/>
          <w:b/>
          <w:color w:val="008B53"/>
          <w:sz w:val="40"/>
          <w:szCs w:val="72"/>
          <w:lang w:eastAsia="en-US"/>
        </w:rPr>
        <w:t>21</w:t>
      </w:r>
    </w:p>
    <w:p w14:paraId="62C8CD99" w14:textId="77777777" w:rsidR="00C8396B" w:rsidRDefault="00C8396B"/>
    <w:p w14:paraId="4C846330" w14:textId="77777777" w:rsidR="00C8396B" w:rsidRDefault="00C8396B"/>
    <w:p w14:paraId="0DDE04E7" w14:textId="758230B6"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14:paraId="196ECAF1"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p w14:paraId="4A6C3BCB"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Прочие новости</w:t>
      </w:r>
    </w:p>
    <w:p w14:paraId="353EB616"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Медиастатистика</w:t>
      </w:r>
    </w:p>
    <w:bookmarkEnd w:id="0"/>
    <w:bookmarkEnd w:id="1"/>
    <w:bookmarkEnd w:id="2"/>
    <w:p w14:paraId="41DC2D94" w14:textId="77777777"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457EEA8A" w14:textId="77777777">
        <w:tc>
          <w:tcPr>
            <w:tcW w:w="7380" w:type="dxa"/>
            <w:gridSpan w:val="3"/>
            <w:shd w:val="clear" w:color="auto" w:fill="008B53"/>
          </w:tcPr>
          <w:p w14:paraId="36CD5A76" w14:textId="77777777" w:rsidR="00C8396B" w:rsidRDefault="00F62502">
            <w:pPr>
              <w:spacing w:before="120" w:after="120"/>
              <w:rPr>
                <w:rFonts w:cs="Arial"/>
                <w:color w:val="FFFFFF"/>
                <w:sz w:val="28"/>
                <w:szCs w:val="28"/>
              </w:rPr>
            </w:pPr>
            <w:r>
              <w:rPr>
                <w:rFonts w:cs="Arial"/>
                <w:color w:val="FFFFFF"/>
                <w:sz w:val="28"/>
                <w:szCs w:val="28"/>
              </w:rPr>
              <w:t>Главные новости дня</w:t>
            </w:r>
          </w:p>
        </w:tc>
        <w:tc>
          <w:tcPr>
            <w:tcW w:w="2700" w:type="dxa"/>
            <w:shd w:val="clear" w:color="auto" w:fill="FECA37"/>
          </w:tcPr>
          <w:p w14:paraId="7F143695" w14:textId="77777777" w:rsidR="00C8396B" w:rsidRDefault="00331C34" w:rsidP="009F5BD0">
            <w:pPr>
              <w:spacing w:before="120" w:after="120"/>
              <w:jc w:val="right"/>
              <w:rPr>
                <w:rFonts w:cs="Arial"/>
                <w:color w:val="FFFFFF"/>
                <w:sz w:val="28"/>
                <w:szCs w:val="28"/>
              </w:rPr>
            </w:pPr>
            <w:r>
              <w:rPr>
                <w:rFonts w:cs="Arial"/>
                <w:color w:val="FFFFFF"/>
                <w:sz w:val="28"/>
                <w:szCs w:val="28"/>
              </w:rPr>
              <w:t>22 сентября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14:paraId="3331529D" w14:textId="77777777">
        <w:trPr>
          <w:trHeight w:val="726"/>
        </w:trPr>
        <w:tc>
          <w:tcPr>
            <w:tcW w:w="2552" w:type="dxa"/>
            <w:shd w:val="clear" w:color="auto" w:fill="E6E7EA"/>
          </w:tcPr>
          <w:p w14:paraId="30F88614" w14:textId="77777777" w:rsidR="00C8396B" w:rsidRDefault="00C8396B">
            <w:bookmarkStart w:id="4" w:name="SEC_1"/>
          </w:p>
          <w:p w14:paraId="493C6DDB" w14:textId="77777777" w:rsidR="00C42B92" w:rsidRDefault="00F62502">
            <w:pPr>
              <w:pStyle w:val="aa"/>
              <w:jc w:val="left"/>
              <w:rPr>
                <w:kern w:val="36"/>
              </w:rPr>
            </w:pPr>
            <w:r>
              <w:rPr>
                <w:kern w:val="36"/>
              </w:rPr>
              <w:t>Анонсы</w:t>
            </w:r>
          </w:p>
          <w:p w14:paraId="6137AA1F" w14:textId="77777777" w:rsidR="005F5908" w:rsidRDefault="005F5908" w:rsidP="00C42B92">
            <w:pPr>
              <w:rPr>
                <w:b/>
              </w:rPr>
            </w:pPr>
          </w:p>
          <w:p w14:paraId="2E4F3411" w14:textId="58376C04" w:rsidR="00331C34" w:rsidRPr="00331C34" w:rsidRDefault="00331C34" w:rsidP="00C42B92">
            <w:pPr>
              <w:rPr>
                <w:b/>
              </w:rPr>
            </w:pPr>
            <w:r w:rsidRPr="00331C34">
              <w:rPr>
                <w:b/>
              </w:rPr>
              <w:t xml:space="preserve">22 СЕНТЯБРЯ </w:t>
            </w:r>
          </w:p>
          <w:p w14:paraId="55B462CB" w14:textId="3ED6A7A3" w:rsidR="00C8396B" w:rsidRDefault="00C42B92" w:rsidP="00C42B92">
            <w:r w:rsidRPr="00352103">
              <w:t>МОСКВА. 11:00. III Всероссийская онлайн-конференция Forum.Digital Agro, посвященная цифровизации агропромышленного комплекса. Организатор - Фонд развития цифровой экономики.</w:t>
            </w:r>
          </w:p>
          <w:p w14:paraId="4BE9E7DD" w14:textId="2D8DE231" w:rsidR="007F4509" w:rsidRDefault="007F4509" w:rsidP="00C42B92"/>
          <w:p w14:paraId="372B4054" w14:textId="0A2C9DBD" w:rsidR="007F4509" w:rsidRPr="007F4509" w:rsidRDefault="007F4509" w:rsidP="00C42B92">
            <w:pPr>
              <w:rPr>
                <w:b/>
                <w:bCs/>
              </w:rPr>
            </w:pPr>
            <w:r w:rsidRPr="007F4509">
              <w:rPr>
                <w:b/>
                <w:bCs/>
              </w:rPr>
              <w:t xml:space="preserve">6-9 ОКТЯБРЯ </w:t>
            </w:r>
          </w:p>
          <w:p w14:paraId="0FE3C8C5" w14:textId="59EB28ED" w:rsidR="007F4509" w:rsidRPr="00C42B92" w:rsidRDefault="007F4509" w:rsidP="00C42B92">
            <w:r>
              <w:t>МОСКВА. С 6 по 9 октября состоится главное деловое событие российского АПК - 23-я Российская агропромышленная выставка «Золотая осень - 2021».</w:t>
            </w:r>
          </w:p>
          <w:p w14:paraId="043EF565" w14:textId="77777777" w:rsidR="00C8396B" w:rsidRDefault="00C8396B">
            <w:pPr>
              <w:jc w:val="left"/>
              <w:rPr>
                <w:kern w:val="36"/>
                <w:szCs w:val="18"/>
              </w:rPr>
            </w:pPr>
            <w:bookmarkStart w:id="5" w:name="SEC_2"/>
            <w:bookmarkEnd w:id="4"/>
          </w:p>
          <w:p w14:paraId="7E58C987" w14:textId="77777777" w:rsidR="00C42B92" w:rsidRDefault="00F62502">
            <w:pPr>
              <w:pStyle w:val="aa"/>
              <w:jc w:val="left"/>
              <w:rPr>
                <w:kern w:val="36"/>
              </w:rPr>
            </w:pPr>
            <w:r>
              <w:rPr>
                <w:kern w:val="36"/>
              </w:rPr>
              <w:t>Отставки и назначения</w:t>
            </w:r>
          </w:p>
          <w:p w14:paraId="7770120E" w14:textId="77777777" w:rsidR="007A6890" w:rsidRDefault="007A6890" w:rsidP="007A6890"/>
          <w:p w14:paraId="3DE95F56" w14:textId="77777777" w:rsidR="00331C34" w:rsidRDefault="00331C34" w:rsidP="00C42B92">
            <w:r w:rsidRPr="00331C34">
              <w:rPr>
                <w:b/>
              </w:rPr>
              <w:t>ГЕНПРОКУРАТУРА</w:t>
            </w:r>
          </w:p>
          <w:p w14:paraId="0A5DFF44" w14:textId="2B76A94A" w:rsidR="00C42B92" w:rsidRDefault="00C42B92" w:rsidP="00C42B92">
            <w:r w:rsidRPr="00E04304">
              <w:t xml:space="preserve">Президент </w:t>
            </w:r>
            <w:r w:rsidR="00B804E2">
              <w:t>РФ</w:t>
            </w:r>
            <w:r w:rsidRPr="00E04304">
              <w:t xml:space="preserve"> Владимир Путин освободил от должности первого заместителя генпрокурора Александра Буксмана</w:t>
            </w:r>
            <w:r w:rsidR="00001659">
              <w:t xml:space="preserve">. </w:t>
            </w:r>
          </w:p>
          <w:p w14:paraId="53168E25" w14:textId="77777777" w:rsidR="00E9724E" w:rsidRPr="00E04304" w:rsidRDefault="00E9724E" w:rsidP="00C42B92"/>
          <w:p w14:paraId="2358155C" w14:textId="77777777" w:rsidR="00331C34" w:rsidRDefault="00331C34" w:rsidP="00C42B92">
            <w:r w:rsidRPr="00331C34">
              <w:rPr>
                <w:b/>
              </w:rPr>
              <w:t>МИД</w:t>
            </w:r>
          </w:p>
          <w:p w14:paraId="05381DD4" w14:textId="77777777" w:rsidR="00C42B92" w:rsidRPr="00E04304" w:rsidRDefault="00C42B92" w:rsidP="00C42B92">
            <w:r w:rsidRPr="00E04304">
              <w:t>Президент РФ Владимир Путин подписал указ о назначении посла по особым поручениям МИД России Микаэла Агасандяна на пост постоянного и полномочного представителя РФ при ОДКБ.</w:t>
            </w:r>
          </w:p>
          <w:p w14:paraId="3B4A6A92" w14:textId="77777777" w:rsidR="00331C34" w:rsidRDefault="00331C34" w:rsidP="00C42B92"/>
          <w:p w14:paraId="30E730E4" w14:textId="77777777" w:rsidR="00331C34" w:rsidRDefault="00331C34" w:rsidP="00C42B92">
            <w:r w:rsidRPr="00331C34">
              <w:rPr>
                <w:b/>
              </w:rPr>
              <w:t>МИНЮСТ</w:t>
            </w:r>
            <w:r>
              <w:t xml:space="preserve"> </w:t>
            </w:r>
          </w:p>
          <w:p w14:paraId="1C02138E" w14:textId="2F864AD8" w:rsidR="00C8396B" w:rsidRPr="00C42B92" w:rsidRDefault="00C42B92" w:rsidP="00C42B92">
            <w:r w:rsidRPr="00E04304">
              <w:t>Заместителем министра юстиции России назначен Всеволод Вуколов</w:t>
            </w:r>
            <w:r w:rsidR="00001659">
              <w:t xml:space="preserve">. </w:t>
            </w:r>
          </w:p>
          <w:bookmarkEnd w:id="5"/>
          <w:p w14:paraId="16B4EE5A" w14:textId="77777777" w:rsidR="00C8396B" w:rsidRDefault="00C8396B" w:rsidP="00C42B92">
            <w:pPr>
              <w:jc w:val="left"/>
            </w:pPr>
          </w:p>
        </w:tc>
        <w:tc>
          <w:tcPr>
            <w:tcW w:w="283" w:type="dxa"/>
          </w:tcPr>
          <w:p w14:paraId="3628BC47" w14:textId="77777777" w:rsidR="00C8396B" w:rsidRDefault="00C8396B">
            <w:pPr>
              <w:rPr>
                <w:rFonts w:cs="Arial"/>
                <w:sz w:val="20"/>
                <w:szCs w:val="20"/>
              </w:rPr>
            </w:pPr>
          </w:p>
        </w:tc>
        <w:tc>
          <w:tcPr>
            <w:tcW w:w="7245" w:type="dxa"/>
            <w:gridSpan w:val="2"/>
          </w:tcPr>
          <w:p w14:paraId="53CBB181" w14:textId="59280829" w:rsidR="00C42B92" w:rsidRDefault="00DD1E47">
            <w:pPr>
              <w:pStyle w:val="a8"/>
              <w:pageBreakBefore/>
              <w:outlineLvl w:val="0"/>
            </w:pPr>
            <w:bookmarkStart w:id="6" w:name="SEC_4"/>
            <w:r>
              <w:t>М</w:t>
            </w:r>
            <w:r w:rsidR="00F62502">
              <w:t>инистерство</w:t>
            </w:r>
          </w:p>
          <w:p w14:paraId="3671CF58" w14:textId="472C2761" w:rsidR="003D223E" w:rsidRDefault="003D223E" w:rsidP="00C350A0">
            <w:pPr>
              <w:rPr>
                <w:i/>
                <w:iCs/>
              </w:rPr>
            </w:pPr>
          </w:p>
          <w:p w14:paraId="63EED522" w14:textId="49CD05E1" w:rsidR="003D223E" w:rsidRPr="003D223E" w:rsidRDefault="003D223E" w:rsidP="003D223E">
            <w:pPr>
              <w:rPr>
                <w:b/>
                <w:bCs/>
              </w:rPr>
            </w:pPr>
            <w:r w:rsidRPr="003D223E">
              <w:rPr>
                <w:b/>
                <w:bCs/>
              </w:rPr>
              <w:t>МИНСЕЛЬХОЗ РФ НАМЕРЕН УВЕЛИЧИТЬ ЧИСЛО ДЕМОНСТРАЦИОННЫХ ПЛОЩАДОК ПОД МАСЛИЧНЫМИ КУЛЬТУРАМИ</w:t>
            </w:r>
          </w:p>
          <w:p w14:paraId="5C7363AC" w14:textId="77777777" w:rsidR="003D223E" w:rsidRDefault="003D223E" w:rsidP="003D223E">
            <w:r w:rsidRPr="003D223E">
              <w:rPr>
                <w:b/>
                <w:bCs/>
              </w:rPr>
              <w:t>Минсельхоз РФ</w:t>
            </w:r>
            <w:r>
              <w:t xml:space="preserve"> планирует расширить число масличных культур, которые будут включены в перечень демонстрационных посевов для продвижения использования отечественных семян, сообщил директор департамента растениеводства </w:t>
            </w:r>
            <w:r w:rsidRPr="003D223E">
              <w:rPr>
                <w:b/>
                <w:bCs/>
              </w:rPr>
              <w:t>Роман Некрасов</w:t>
            </w:r>
            <w:r>
              <w:t xml:space="preserve"> в ходе круглого стола в Совете Федерации во вторник. Он был посвящен совершенствованию законодательного обеспечения развития селекции и семеноводства в РФ.</w:t>
            </w:r>
          </w:p>
          <w:p w14:paraId="51C3B405" w14:textId="65599664" w:rsidR="003D223E" w:rsidRDefault="003D223E" w:rsidP="003D223E">
            <w:r>
              <w:t xml:space="preserve">По его словам, в этом году действует более 3 тыс. демонстрационных площадок. </w:t>
            </w:r>
            <w:r w:rsidR="002436D2">
              <w:t>«</w:t>
            </w:r>
            <w:r>
              <w:t xml:space="preserve">Основные сельхозкультуры, с которыми мы работаем, это сахарная свекла, кукуруза, прежде всего зерновая, подсолнечник, соя, - сказал </w:t>
            </w:r>
            <w:r w:rsidRPr="003D223E">
              <w:rPr>
                <w:b/>
                <w:bCs/>
              </w:rPr>
              <w:t>Некрасов</w:t>
            </w:r>
            <w:r>
              <w:t>. - В перспективе мы еще больше внимания уделим блоку масличных культур за счет рапса, горчицы и других - для того, чтобы отечественные аграрии могли более тесно знакомиться с последними селекционными новинками и использовать селекционные достижения в своей практике</w:t>
            </w:r>
            <w:r w:rsidR="002436D2">
              <w:t>»</w:t>
            </w:r>
            <w:r>
              <w:t>.</w:t>
            </w:r>
          </w:p>
          <w:p w14:paraId="03EF87DD" w14:textId="2DF173CA" w:rsidR="003D223E" w:rsidRPr="003D223E" w:rsidRDefault="003D223E" w:rsidP="003D223E">
            <w:r w:rsidRPr="003D223E">
              <w:rPr>
                <w:b/>
                <w:bCs/>
              </w:rPr>
              <w:t>Некрасов</w:t>
            </w:r>
            <w:r>
              <w:t xml:space="preserve"> также сообщил, что проект закона о селекции и семеноводстве </w:t>
            </w:r>
            <w:r w:rsidR="002436D2">
              <w:t>«</w:t>
            </w:r>
            <w:r>
              <w:t>достаточно давно находится в стадии обсуждения</w:t>
            </w:r>
            <w:r w:rsidR="002436D2">
              <w:t>»</w:t>
            </w:r>
            <w:r>
              <w:t xml:space="preserve">. В этом году он был принят Госдумой в первом чтении. Документ призван урегулировать процессы сортоиспытания, предусматривает ведение государственного реестра селекционных достижений, а также генетических паспортов сортов и гибридов семян определенных сельхозкультур. </w:t>
            </w:r>
            <w:r w:rsidRPr="003D223E">
              <w:rPr>
                <w:i/>
                <w:iCs/>
              </w:rPr>
              <w:t>Интерфакс</w:t>
            </w:r>
          </w:p>
          <w:p w14:paraId="0DB38BAB" w14:textId="2C4AD014" w:rsidR="00C350A0" w:rsidRPr="00C350A0" w:rsidRDefault="00C350A0" w:rsidP="00C42B92"/>
          <w:p w14:paraId="4E34928C" w14:textId="77777777" w:rsidR="00C350A0" w:rsidRPr="007921C6" w:rsidRDefault="00C350A0" w:rsidP="00C350A0">
            <w:pPr>
              <w:rPr>
                <w:b/>
                <w:bCs/>
                <w:iCs/>
              </w:rPr>
            </w:pPr>
            <w:r w:rsidRPr="007921C6">
              <w:rPr>
                <w:b/>
                <w:bCs/>
                <w:iCs/>
              </w:rPr>
              <w:t>ОБЪЁМ РЕАЛИЗАЦИИ МОЛОКА В СЕЛЬХОЗОРГАНИЗАЦИЯХ ВЫРОС НА 2,7%</w:t>
            </w:r>
          </w:p>
          <w:p w14:paraId="61349375" w14:textId="77777777" w:rsidR="00C8396B" w:rsidRDefault="00C350A0" w:rsidP="00C42B92">
            <w:pPr>
              <w:rPr>
                <w:iCs/>
              </w:rPr>
            </w:pPr>
            <w:r w:rsidRPr="004252DF">
              <w:rPr>
                <w:iCs/>
              </w:rPr>
              <w:t xml:space="preserve">По оперативным данным </w:t>
            </w:r>
            <w:r w:rsidRPr="007921C6">
              <w:rPr>
                <w:b/>
                <w:bCs/>
                <w:iCs/>
              </w:rPr>
              <w:t>Минсельхоза России</w:t>
            </w:r>
            <w:r w:rsidRPr="004252DF">
              <w:rPr>
                <w:iCs/>
              </w:rPr>
              <w:t xml:space="preserve">, по состоянию на 13 сентября суточный объём реализации молока сельскохозяйственными организациями составил 49,965 тыс. тонн, что на 2,7% (1,332 тыс. тонн) больше показателя за аналогичный период прошлого года, сообщила пресс-служба министерства. Максимальные объёмы реализации достигнуты в Республике Татарстан, Краснодарском крае, Воронежской, Кировской, Свердловской, Ленинградской, Белгородской, Новосибирской, Московской областях, Удмуртской Республике.  Средний надой молока от одной коровы за сутки составил 17,89 кг, что на 0,78 кг больше, чем годом ранее. </w:t>
            </w:r>
            <w:r w:rsidRPr="007921C6">
              <w:rPr>
                <w:i/>
              </w:rPr>
              <w:t>Интерфакс, Milknews.ru</w:t>
            </w:r>
            <w:r w:rsidRPr="004252DF">
              <w:rPr>
                <w:iCs/>
              </w:rPr>
              <w:t xml:space="preserve">  </w:t>
            </w:r>
            <w:bookmarkEnd w:id="6"/>
          </w:p>
          <w:p w14:paraId="4B9CF72D" w14:textId="77777777" w:rsidR="007F4509" w:rsidRDefault="007F4509" w:rsidP="00C42B92">
            <w:pPr>
              <w:rPr>
                <w:iCs/>
              </w:rPr>
            </w:pPr>
          </w:p>
          <w:p w14:paraId="5FC368D7" w14:textId="77777777" w:rsidR="007F4509" w:rsidRPr="004252DF" w:rsidRDefault="007F4509" w:rsidP="007F4509">
            <w:pPr>
              <w:rPr>
                <w:b/>
                <w:bCs/>
                <w:iCs/>
              </w:rPr>
            </w:pPr>
            <w:r w:rsidRPr="004252DF">
              <w:rPr>
                <w:b/>
                <w:bCs/>
                <w:iCs/>
              </w:rPr>
              <w:t>ЧИПСАМ НЕ ХВАТАЕТ КАРТОШКИ</w:t>
            </w:r>
          </w:p>
          <w:p w14:paraId="6699E4BB" w14:textId="77777777" w:rsidR="007F4509" w:rsidRPr="004252DF" w:rsidRDefault="007F4509" w:rsidP="007F4509">
            <w:pPr>
              <w:rPr>
                <w:iCs/>
              </w:rPr>
            </w:pPr>
            <w:r w:rsidRPr="004252DF">
              <w:rPr>
                <w:iCs/>
              </w:rPr>
              <w:t xml:space="preserve">Проблемы со сбором картофеля в этом сезоне, в первую очередь крупного размера, могут привести к перебоям с поставками чипсов. Об этом своих контрагентов уже предупредила PepsiCo, владеющая брендом Lay’s. </w:t>
            </w:r>
          </w:p>
          <w:p w14:paraId="38E8D7F7" w14:textId="77777777" w:rsidR="007F4509" w:rsidRPr="004252DF" w:rsidRDefault="007F4509" w:rsidP="007F4509">
            <w:pPr>
              <w:rPr>
                <w:iCs/>
              </w:rPr>
            </w:pPr>
            <w:r w:rsidRPr="004252DF">
              <w:rPr>
                <w:iCs/>
              </w:rPr>
              <w:t>В PepsiCo пояснили “Ъ”, что предполагают возможные перебои с поставками Lay’s клиентам из-за сезонного фактора: очень жаркое лето и затяжные дожди с начала осени не позволяют проводить уборку картофеля на полях.</w:t>
            </w:r>
            <w:r>
              <w:rPr>
                <w:iCs/>
              </w:rPr>
              <w:t xml:space="preserve"> </w:t>
            </w:r>
            <w:r w:rsidRPr="004252DF">
              <w:rPr>
                <w:iCs/>
              </w:rPr>
              <w:t>Источник “Ъ” среди ритейлеров добавляет, что уже некоторое время поставки Lay’s приходят с опозданием и не в полном объеме, что может быть связано с проблемами компании с логистикой.</w:t>
            </w:r>
            <w:r>
              <w:rPr>
                <w:iCs/>
              </w:rPr>
              <w:t xml:space="preserve"> </w:t>
            </w:r>
            <w:r w:rsidRPr="004252DF">
              <w:rPr>
                <w:iCs/>
              </w:rPr>
              <w:t xml:space="preserve">Исполнительный директор Картофельного союза Алексей Красильников говорит, что ситуация с наличием картофеля для переработки и столового клубня напряженная. </w:t>
            </w:r>
          </w:p>
          <w:p w14:paraId="3B652B0D" w14:textId="00AF503E" w:rsidR="00204209" w:rsidRPr="002436D2" w:rsidRDefault="007F4509" w:rsidP="002436D2">
            <w:pPr>
              <w:rPr>
                <w:i/>
              </w:rPr>
            </w:pPr>
            <w:r w:rsidRPr="004252DF">
              <w:rPr>
                <w:iCs/>
              </w:rPr>
              <w:t xml:space="preserve">В </w:t>
            </w:r>
            <w:r w:rsidRPr="004252DF">
              <w:rPr>
                <w:b/>
                <w:bCs/>
                <w:iCs/>
              </w:rPr>
              <w:t>Минсельхозе</w:t>
            </w:r>
            <w:r w:rsidRPr="004252DF">
              <w:rPr>
                <w:iCs/>
              </w:rPr>
              <w:t xml:space="preserve"> подтвердили “Ъ”, что неблагоприятные погодные условия повлияли на калибр и объем предложения крупного картофеля. Но в министерстве ожидают по итогам года увеличения сбора картофеля у сельхозпроизводителей год к году, что с учетом импорта позволит удовлетворить потребности. </w:t>
            </w:r>
            <w:r w:rsidRPr="004252DF">
              <w:rPr>
                <w:i/>
              </w:rPr>
              <w:t>Коммерсантъ</w:t>
            </w:r>
          </w:p>
        </w:tc>
      </w:tr>
    </w:tbl>
    <w:p w14:paraId="063B100E" w14:textId="77777777"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14:paraId="4D171A68" w14:textId="77777777" w:rsidR="002436D2" w:rsidRPr="004252DF" w:rsidRDefault="002436D2" w:rsidP="002436D2">
      <w:pPr>
        <w:rPr>
          <w:b/>
          <w:bCs/>
          <w:iCs/>
        </w:rPr>
      </w:pPr>
      <w:bookmarkStart w:id="9" w:name="SEC_3"/>
      <w:r w:rsidRPr="004252DF">
        <w:rPr>
          <w:b/>
          <w:bCs/>
          <w:iCs/>
        </w:rPr>
        <w:t>ВИНОДЕЛЫ НЕ СМОГУТ ПОЛУЧИТЬ ЛИЦЕНЗИЮ НА НЕКОТОРЫЕ ВИДЫ ВИНА</w:t>
      </w:r>
    </w:p>
    <w:p w14:paraId="0A5CF422" w14:textId="77777777" w:rsidR="002436D2" w:rsidRPr="004252DF" w:rsidRDefault="002436D2" w:rsidP="002436D2">
      <w:pPr>
        <w:rPr>
          <w:iCs/>
        </w:rPr>
      </w:pPr>
      <w:r w:rsidRPr="004252DF">
        <w:rPr>
          <w:iCs/>
        </w:rPr>
        <w:t xml:space="preserve">Выдача сертификатов качества, без которых Росалкогольрегулирование (РАР) не сможет предоставлять лицензию на производство вин с защищенным географическим указанием и наименованием места происхождения (ЗГУ и ЗНМП; аналог французской системы Appellation d’Origine Controlee, AOC. - </w:t>
      </w:r>
      <w:r>
        <w:rPr>
          <w:iCs/>
        </w:rPr>
        <w:t>«</w:t>
      </w:r>
      <w:r w:rsidRPr="004252DF">
        <w:rPr>
          <w:iCs/>
        </w:rPr>
        <w:t>Ведомости</w:t>
      </w:r>
      <w:r>
        <w:rPr>
          <w:iCs/>
        </w:rPr>
        <w:t>»</w:t>
      </w:r>
      <w:r w:rsidRPr="004252DF">
        <w:rPr>
          <w:iCs/>
        </w:rPr>
        <w:t>), будет организована к 4 февраля 2022 г.</w:t>
      </w:r>
    </w:p>
    <w:p w14:paraId="2B0E627E" w14:textId="77777777" w:rsidR="002436D2" w:rsidRPr="004252DF" w:rsidRDefault="002436D2" w:rsidP="002436D2">
      <w:pPr>
        <w:rPr>
          <w:iCs/>
        </w:rPr>
      </w:pPr>
      <w:r w:rsidRPr="004252DF">
        <w:rPr>
          <w:iCs/>
        </w:rPr>
        <w:t xml:space="preserve">Эти сертификаты, согласно законодательству, должна выдавать федеральная саморегулируемая организация виноградарей и виноделов (федеральная СРО). Виноделы совместно с </w:t>
      </w:r>
      <w:r w:rsidRPr="004252DF">
        <w:rPr>
          <w:b/>
          <w:bCs/>
          <w:iCs/>
        </w:rPr>
        <w:t>Минсельхозом</w:t>
      </w:r>
      <w:r w:rsidRPr="004252DF">
        <w:rPr>
          <w:iCs/>
        </w:rPr>
        <w:t xml:space="preserve"> разработали дорожную карту по созданию такой СРО, рассказали два человека, участвовавших в обсуждении этого вопроса.</w:t>
      </w:r>
    </w:p>
    <w:p w14:paraId="61E540B5" w14:textId="77777777" w:rsidR="002436D2" w:rsidRPr="004252DF" w:rsidRDefault="002436D2" w:rsidP="002436D2">
      <w:pPr>
        <w:rPr>
          <w:iCs/>
        </w:rPr>
      </w:pPr>
      <w:r w:rsidRPr="004252DF">
        <w:rPr>
          <w:iCs/>
        </w:rPr>
        <w:t xml:space="preserve">Из документа, с которым ознакомились </w:t>
      </w:r>
      <w:r>
        <w:rPr>
          <w:iCs/>
        </w:rPr>
        <w:t>«</w:t>
      </w:r>
      <w:r w:rsidRPr="004252DF">
        <w:rPr>
          <w:iCs/>
        </w:rPr>
        <w:t>Ведомости</w:t>
      </w:r>
      <w:r>
        <w:rPr>
          <w:iCs/>
        </w:rPr>
        <w:t>»</w:t>
      </w:r>
      <w:r w:rsidRPr="004252DF">
        <w:rPr>
          <w:iCs/>
        </w:rPr>
        <w:t>, следует, что 18 октября во время саммита виноделов России должно состояться учредительное собрание новой организации, а через три дня ее документы планируется передать на регистрацию в Минюст, выдавать сертификаты она начнет с февраля 2022 г.</w:t>
      </w:r>
    </w:p>
    <w:p w14:paraId="32F03DCA" w14:textId="77777777" w:rsidR="002436D2" w:rsidRPr="004252DF" w:rsidRDefault="002436D2" w:rsidP="002436D2">
      <w:pPr>
        <w:rPr>
          <w:iCs/>
        </w:rPr>
      </w:pPr>
      <w:r w:rsidRPr="004252DF">
        <w:rPr>
          <w:iCs/>
        </w:rPr>
        <w:t xml:space="preserve">Президент СВВР Леонид Попович подтвердил, что дорожная карта с такими сроками разработана. Он уточнил, что даты могут быть немного скорректированы. Сейчас, сказал он, виноделы обсуждают устав организации. </w:t>
      </w:r>
      <w:r w:rsidRPr="004252DF">
        <w:rPr>
          <w:b/>
          <w:bCs/>
          <w:iCs/>
        </w:rPr>
        <w:t>Минсельхоз</w:t>
      </w:r>
      <w:r w:rsidRPr="004252DF">
        <w:rPr>
          <w:iCs/>
        </w:rPr>
        <w:t xml:space="preserve">, по словам его представителя, </w:t>
      </w:r>
      <w:r>
        <w:rPr>
          <w:iCs/>
        </w:rPr>
        <w:t>«</w:t>
      </w:r>
      <w:r w:rsidRPr="004252DF">
        <w:rPr>
          <w:iCs/>
        </w:rPr>
        <w:t>оказывает содействие</w:t>
      </w:r>
      <w:r>
        <w:rPr>
          <w:iCs/>
        </w:rPr>
        <w:t>»</w:t>
      </w:r>
      <w:r w:rsidRPr="004252DF">
        <w:rPr>
          <w:iCs/>
        </w:rPr>
        <w:t xml:space="preserve"> в создании федеральной СРО и 31 августа участвовал в обсуждении устава, утвердить его планируется 18 октября.</w:t>
      </w:r>
    </w:p>
    <w:p w14:paraId="5DCD03AA" w14:textId="46E88C06" w:rsidR="002436D2" w:rsidRDefault="002436D2" w:rsidP="00C350A0">
      <w:pPr>
        <w:rPr>
          <w:i/>
        </w:rPr>
      </w:pPr>
      <w:r w:rsidRPr="004252DF">
        <w:rPr>
          <w:iCs/>
        </w:rPr>
        <w:t xml:space="preserve">Для тех виноделов, которые впервые хотят начать производство вина ЗГУ и ЗНМП, такие длительные сроки могут быть критичны </w:t>
      </w:r>
      <w:r>
        <w:rPr>
          <w:iCs/>
        </w:rPr>
        <w:t>-</w:t>
      </w:r>
      <w:r w:rsidRPr="004252DF">
        <w:rPr>
          <w:iCs/>
        </w:rPr>
        <w:t xml:space="preserve"> они не смогут легально выпускать продукцию до тех пор, пока не будет организована выдача сертификатов, говорит генеральный директор СРО </w:t>
      </w:r>
      <w:r>
        <w:rPr>
          <w:iCs/>
        </w:rPr>
        <w:t>«</w:t>
      </w:r>
      <w:r w:rsidRPr="004252DF">
        <w:rPr>
          <w:iCs/>
        </w:rPr>
        <w:t>Винодельческий союз</w:t>
      </w:r>
      <w:r>
        <w:rPr>
          <w:iCs/>
        </w:rPr>
        <w:t xml:space="preserve">» </w:t>
      </w:r>
      <w:r w:rsidRPr="004252DF">
        <w:rPr>
          <w:iCs/>
        </w:rPr>
        <w:t xml:space="preserve">Борис Катрюхин. </w:t>
      </w:r>
      <w:r w:rsidRPr="004252DF">
        <w:rPr>
          <w:i/>
        </w:rPr>
        <w:t>Ведомости</w:t>
      </w:r>
    </w:p>
    <w:p w14:paraId="6250A2C3" w14:textId="4A80F1D9" w:rsidR="00CC4FFC" w:rsidRDefault="00CC4FFC" w:rsidP="00C350A0">
      <w:pPr>
        <w:rPr>
          <w:i/>
        </w:rPr>
      </w:pPr>
    </w:p>
    <w:p w14:paraId="313B6ACC" w14:textId="2FF56C2A" w:rsidR="00CC4FFC" w:rsidRPr="00CC4FFC" w:rsidRDefault="00CC4FFC" w:rsidP="00CC4FFC">
      <w:pPr>
        <w:rPr>
          <w:b/>
          <w:bCs/>
          <w:iCs/>
        </w:rPr>
      </w:pPr>
      <w:r w:rsidRPr="00CC4FFC">
        <w:rPr>
          <w:b/>
          <w:bCs/>
          <w:iCs/>
        </w:rPr>
        <w:t>В РОССИИ НАЧАЛИ СТРОИТЬ ГИГАНТСКУЮ ИТ-СИСТЕМУ КОНТРОЛЯ НАД ЗЕРНОМ И ХЛЕБОМ</w:t>
      </w:r>
    </w:p>
    <w:p w14:paraId="4F7CDC90" w14:textId="5D2D6993" w:rsidR="00CC4FFC" w:rsidRPr="00CC4FFC" w:rsidRDefault="00CC4FFC" w:rsidP="00CC4FFC">
      <w:pPr>
        <w:rPr>
          <w:iCs/>
        </w:rPr>
      </w:pPr>
      <w:r w:rsidRPr="00CC4FFC">
        <w:rPr>
          <w:b/>
          <w:bCs/>
          <w:iCs/>
        </w:rPr>
        <w:t>Минсельхоз</w:t>
      </w:r>
      <w:r w:rsidRPr="00CC4FFC">
        <w:rPr>
          <w:iCs/>
        </w:rPr>
        <w:t xml:space="preserve"> начинает создавать ФГИС прослеживаемости зерна и продуктов его переработки, рассчитанную как минимум на 300 тыс. пользователей. Зеленый свет проекту дал Владимир Путин, подписавший соответствующий закон в конце 2020 г. </w:t>
      </w:r>
    </w:p>
    <w:p w14:paraId="042672F5" w14:textId="04FB18DC" w:rsidR="00CC4FFC" w:rsidRPr="00CC4FFC" w:rsidRDefault="00CC4FFC" w:rsidP="00CC4FFC">
      <w:pPr>
        <w:rPr>
          <w:iCs/>
        </w:rPr>
      </w:pPr>
      <w:r w:rsidRPr="00CC4FFC">
        <w:rPr>
          <w:iCs/>
        </w:rPr>
        <w:t xml:space="preserve">Как выяснил CNews, </w:t>
      </w:r>
      <w:r w:rsidRPr="00CC4FFC">
        <w:rPr>
          <w:b/>
          <w:bCs/>
          <w:iCs/>
        </w:rPr>
        <w:t>Министерство сельского хозяйства</w:t>
      </w:r>
      <w:r w:rsidRPr="00CC4FFC">
        <w:rPr>
          <w:iCs/>
        </w:rPr>
        <w:t xml:space="preserve"> готово потратить до 136,7 млн руб. на создание федеральной госинформсистемы (ФГИС) прослеживаемости зерна и продуктов его переработки. Упомянутая сумма выставлена в качестве начальной максимальной цены контракта в тематическом тендере, который был запущен ведомством 16 сентября 2021 г</w:t>
      </w:r>
      <w:r w:rsidR="0018006A">
        <w:rPr>
          <w:iCs/>
        </w:rPr>
        <w:t>ода</w:t>
      </w:r>
      <w:r w:rsidRPr="00CC4FFC">
        <w:rPr>
          <w:iCs/>
        </w:rPr>
        <w:t xml:space="preserve"> в формате открытого конкурса. Заявки от претендентов станут приниматься до 8 октября, подведение итогов намечено на 15 октября.</w:t>
      </w:r>
    </w:p>
    <w:p w14:paraId="4FCAF7F5" w14:textId="0FF44E8D" w:rsidR="00CC4FFC" w:rsidRPr="00CC4FFC" w:rsidRDefault="00CC4FFC" w:rsidP="00CC4FFC">
      <w:pPr>
        <w:rPr>
          <w:iCs/>
        </w:rPr>
      </w:pPr>
      <w:r w:rsidRPr="00CC4FFC">
        <w:rPr>
          <w:iCs/>
        </w:rPr>
        <w:t>В техзадании тендера на создание ФГИС говорится, что в процессе развития системы доля рынка зерна и продуктов его переработки, по которой будет обеспечена прослеживаемость, достигнет 15% в 2022 г</w:t>
      </w:r>
      <w:r w:rsidR="0018006A">
        <w:rPr>
          <w:iCs/>
        </w:rPr>
        <w:t>оду</w:t>
      </w:r>
      <w:r w:rsidRPr="00CC4FFC">
        <w:rPr>
          <w:iCs/>
        </w:rPr>
        <w:t xml:space="preserve"> и 50% в 2023 г</w:t>
      </w:r>
      <w:r w:rsidR="0018006A">
        <w:rPr>
          <w:iCs/>
        </w:rPr>
        <w:t>оду</w:t>
      </w:r>
      <w:r w:rsidRPr="00CC4FFC">
        <w:rPr>
          <w:iCs/>
        </w:rPr>
        <w:t xml:space="preserve">. </w:t>
      </w:r>
      <w:r w:rsidRPr="0018006A">
        <w:rPr>
          <w:i/>
        </w:rPr>
        <w:t>CNews</w:t>
      </w:r>
    </w:p>
    <w:p w14:paraId="66510419" w14:textId="77777777" w:rsidR="002436D2" w:rsidRDefault="002436D2" w:rsidP="00C350A0">
      <w:pPr>
        <w:rPr>
          <w:b/>
          <w:bCs/>
          <w:iCs/>
        </w:rPr>
      </w:pPr>
    </w:p>
    <w:p w14:paraId="01F6E08A" w14:textId="1D1268F3" w:rsidR="00C350A0" w:rsidRPr="007921C6" w:rsidRDefault="00C350A0" w:rsidP="00C350A0">
      <w:pPr>
        <w:rPr>
          <w:b/>
          <w:bCs/>
          <w:iCs/>
        </w:rPr>
      </w:pPr>
      <w:r w:rsidRPr="007921C6">
        <w:rPr>
          <w:b/>
          <w:bCs/>
          <w:iCs/>
        </w:rPr>
        <w:t>ЦАРИЦА КУХНИ: ПОЧЕМУ ДОРОЖАЕТ ГРЕЧНЕВАЯ КРУПА</w:t>
      </w:r>
    </w:p>
    <w:p w14:paraId="7710C281" w14:textId="251EFCB0" w:rsidR="00C350A0" w:rsidRPr="004252DF" w:rsidRDefault="00C350A0" w:rsidP="00C350A0">
      <w:pPr>
        <w:rPr>
          <w:iCs/>
        </w:rPr>
      </w:pPr>
      <w:r w:rsidRPr="007921C6">
        <w:rPr>
          <w:b/>
          <w:bCs/>
          <w:iCs/>
        </w:rPr>
        <w:t>Минсельхоз России</w:t>
      </w:r>
      <w:r w:rsidRPr="004252DF">
        <w:rPr>
          <w:iCs/>
        </w:rPr>
        <w:t xml:space="preserve"> 20 сентября сообщил о снижении цен на гречку, при этом ФАС России не усматривает признаков дефицита гречневой крупы. Однако в некоторых торговых сетях отмечают взвинчивание цен поставщиками. В Институте конъюнктуры аграрного рынка уверены, что в ближайшие недели насыщенность рынка свежей гречкой возрастет</w:t>
      </w:r>
      <w:r w:rsidR="004212AB">
        <w:rPr>
          <w:iCs/>
        </w:rPr>
        <w:t>,</w:t>
      </w:r>
      <w:r w:rsidRPr="004252DF">
        <w:rPr>
          <w:iCs/>
        </w:rPr>
        <w:t xml:space="preserve"> и цены должны стабилизироваться. Но другие специалисты полагают, что цены могут продолжить расти.</w:t>
      </w:r>
    </w:p>
    <w:p w14:paraId="5902CDCB" w14:textId="6D1D91B8" w:rsidR="00C350A0" w:rsidRPr="004252DF" w:rsidRDefault="00C350A0" w:rsidP="00C350A0">
      <w:pPr>
        <w:rPr>
          <w:iCs/>
        </w:rPr>
      </w:pPr>
      <w:r w:rsidRPr="004252DF">
        <w:rPr>
          <w:iCs/>
        </w:rPr>
        <w:t xml:space="preserve">Как разъяснили </w:t>
      </w:r>
      <w:r w:rsidR="00CE289A">
        <w:rPr>
          <w:iCs/>
        </w:rPr>
        <w:t>«</w:t>
      </w:r>
      <w:r w:rsidRPr="004252DF">
        <w:rPr>
          <w:iCs/>
        </w:rPr>
        <w:t>Известиям</w:t>
      </w:r>
      <w:r w:rsidR="00CE289A">
        <w:rPr>
          <w:iCs/>
        </w:rPr>
        <w:t>»</w:t>
      </w:r>
      <w:r w:rsidRPr="004252DF">
        <w:rPr>
          <w:iCs/>
        </w:rPr>
        <w:t xml:space="preserve"> в </w:t>
      </w:r>
      <w:r w:rsidRPr="004252DF">
        <w:rPr>
          <w:b/>
          <w:bCs/>
          <w:iCs/>
        </w:rPr>
        <w:t xml:space="preserve">ФГБУ </w:t>
      </w:r>
      <w:r w:rsidR="00CE289A">
        <w:rPr>
          <w:b/>
          <w:bCs/>
          <w:iCs/>
        </w:rPr>
        <w:t>«</w:t>
      </w:r>
      <w:r w:rsidRPr="004252DF">
        <w:rPr>
          <w:b/>
          <w:bCs/>
          <w:iCs/>
        </w:rPr>
        <w:t>Центр агроаналитики</w:t>
      </w:r>
      <w:r w:rsidR="00CE289A">
        <w:rPr>
          <w:b/>
          <w:bCs/>
          <w:iCs/>
        </w:rPr>
        <w:t>»</w:t>
      </w:r>
      <w:r w:rsidRPr="004252DF">
        <w:rPr>
          <w:b/>
          <w:bCs/>
          <w:iCs/>
        </w:rPr>
        <w:t xml:space="preserve"> (при Минсельхозе)</w:t>
      </w:r>
      <w:r w:rsidRPr="004252DF">
        <w:rPr>
          <w:iCs/>
        </w:rPr>
        <w:t>, уборка нового урожая гречки начата сравнительно недавно. По состоянию на 20-е числа сентября в целом по стране обмолочено только 37,4% посевных площадей. Алтайский край, где в текущем году сосредоточено 65% посевов, обмолотил пока только треть площадей.</w:t>
      </w:r>
    </w:p>
    <w:p w14:paraId="32A7C0ED" w14:textId="21719701" w:rsidR="007F4509" w:rsidRPr="007F4509" w:rsidRDefault="00C350A0" w:rsidP="007F4509">
      <w:pPr>
        <w:rPr>
          <w:iCs/>
        </w:rPr>
      </w:pPr>
      <w:r w:rsidRPr="004252DF">
        <w:rPr>
          <w:iCs/>
        </w:rPr>
        <w:t xml:space="preserve">- Текущая урожайность гречихи в этом регионе превышает уровень прошлого года, составляя 10,9 ц/га против 9,7 ц/га в прошлом году, - говорят в </w:t>
      </w:r>
      <w:r w:rsidRPr="004252DF">
        <w:rPr>
          <w:b/>
          <w:bCs/>
          <w:iCs/>
        </w:rPr>
        <w:t xml:space="preserve">ФГБУ </w:t>
      </w:r>
      <w:r w:rsidR="00CE289A">
        <w:rPr>
          <w:b/>
          <w:bCs/>
          <w:iCs/>
        </w:rPr>
        <w:t>«</w:t>
      </w:r>
      <w:r w:rsidRPr="004252DF">
        <w:rPr>
          <w:b/>
          <w:bCs/>
          <w:iCs/>
        </w:rPr>
        <w:t>Центр агроаналитики</w:t>
      </w:r>
      <w:r w:rsidR="00CE289A">
        <w:rPr>
          <w:b/>
          <w:bCs/>
          <w:iCs/>
        </w:rPr>
        <w:t>»</w:t>
      </w:r>
      <w:r w:rsidRPr="004252DF">
        <w:rPr>
          <w:iCs/>
        </w:rPr>
        <w:t xml:space="preserve">. </w:t>
      </w:r>
      <w:r w:rsidRPr="004252DF">
        <w:rPr>
          <w:i/>
        </w:rPr>
        <w:t>Известия</w:t>
      </w:r>
      <w:r w:rsidRPr="004252DF">
        <w:rPr>
          <w:iCs/>
        </w:rPr>
        <w:t xml:space="preserve"> </w:t>
      </w:r>
    </w:p>
    <w:p w14:paraId="1DADA065" w14:textId="77777777" w:rsidR="00C42B92" w:rsidRDefault="00F62502" w:rsidP="00E6281A">
      <w:pPr>
        <w:pStyle w:val="a8"/>
        <w:spacing w:before="240"/>
        <w:outlineLvl w:val="0"/>
      </w:pPr>
      <w:r>
        <w:t>Государственное регулирование отрасли АПК</w:t>
      </w:r>
    </w:p>
    <w:p w14:paraId="7935B315" w14:textId="1C2416F4" w:rsidR="00001659" w:rsidRDefault="00001659" w:rsidP="00C350A0">
      <w:pPr>
        <w:rPr>
          <w:iCs/>
        </w:rPr>
      </w:pPr>
    </w:p>
    <w:p w14:paraId="78A7C3A0" w14:textId="6CB2A699" w:rsidR="00001659" w:rsidRPr="00001659" w:rsidRDefault="00001659" w:rsidP="00001659">
      <w:pPr>
        <w:rPr>
          <w:b/>
          <w:bCs/>
          <w:iCs/>
        </w:rPr>
      </w:pPr>
      <w:r w:rsidRPr="00001659">
        <w:rPr>
          <w:b/>
          <w:bCs/>
          <w:iCs/>
        </w:rPr>
        <w:t>РАСХОДЫ НА ГОСПРОГРАММУ РАЗВИТИЯ АПК В 2022-2024 ГОДАХ ДОСТИГНУТ ПОЧТИ 917 МЛРД РУБЛЕЙ</w:t>
      </w:r>
    </w:p>
    <w:p w14:paraId="5708BD8C" w14:textId="77777777" w:rsidR="00001659" w:rsidRPr="00001659" w:rsidRDefault="00001659" w:rsidP="00001659">
      <w:pPr>
        <w:rPr>
          <w:iCs/>
        </w:rPr>
      </w:pPr>
      <w:r w:rsidRPr="00001659">
        <w:rPr>
          <w:iCs/>
        </w:rPr>
        <w:t>Расходы на реализацию госпрограммы развития АПК в 2022 году составят 285,1 млрд рублей, в 2023 году - 304,8 млрд рублей, затем они также будут увеличиваться. Об этом говорится в пояснительной записке к проекту федерального бюджета, текст которой есть в распоряжении ТАСС.</w:t>
      </w:r>
    </w:p>
    <w:p w14:paraId="2F915EE4" w14:textId="055C7769" w:rsidR="00001659" w:rsidRPr="00C350A0" w:rsidRDefault="00001659" w:rsidP="00001659">
      <w:pPr>
        <w:rPr>
          <w:iCs/>
        </w:rPr>
      </w:pPr>
      <w:r w:rsidRPr="00001659">
        <w:rPr>
          <w:iCs/>
        </w:rPr>
        <w:t xml:space="preserve">При этом предусмотренные в законопроекте объемы бюджетных ассигнований по сравнению с утвержденными ранее средствами в 2022 году увеличены на 5 млрд 315,3 млн рублей, в 2023 году - на 9 млрд 391,2 млн рублей, в 2024 году - на 21 млрд 916,2 млн рублей. </w:t>
      </w:r>
      <w:r w:rsidRPr="00001659">
        <w:rPr>
          <w:i/>
        </w:rPr>
        <w:t>ТАСС</w:t>
      </w:r>
    </w:p>
    <w:p w14:paraId="25439E81" w14:textId="77777777" w:rsidR="00C350A0" w:rsidRPr="00C350A0" w:rsidRDefault="00C350A0" w:rsidP="00C350A0">
      <w:pPr>
        <w:rPr>
          <w:iCs/>
        </w:rPr>
      </w:pPr>
    </w:p>
    <w:p w14:paraId="2E248AAA" w14:textId="40E4AA7E" w:rsidR="00C350A0" w:rsidRPr="00C350A0" w:rsidRDefault="00C350A0" w:rsidP="00C350A0">
      <w:pPr>
        <w:rPr>
          <w:b/>
          <w:bCs/>
          <w:iCs/>
        </w:rPr>
      </w:pPr>
      <w:r w:rsidRPr="00C350A0">
        <w:rPr>
          <w:b/>
          <w:bCs/>
          <w:iCs/>
        </w:rPr>
        <w:t>РАСХОДЫ НА МЕЛИОРАЦИЮ В 2022-2024 ГОДАХ В РОССИИ СОСТАВЯТ 94,3 МЛРД РУБЛЕЙ</w:t>
      </w:r>
    </w:p>
    <w:p w14:paraId="4AE86064" w14:textId="77777777" w:rsidR="00C350A0" w:rsidRPr="00C350A0" w:rsidRDefault="00C350A0" w:rsidP="00C350A0">
      <w:pPr>
        <w:rPr>
          <w:iCs/>
        </w:rPr>
      </w:pPr>
      <w:r w:rsidRPr="00C350A0">
        <w:rPr>
          <w:iCs/>
        </w:rPr>
        <w:t>Расходы бюджета РФ на мелиорацию в 2022-2024 годах составят 94,3 млрд рублей. Об этом говорится в пояснительной записке к проекту федерального бюджета, текст которой есть в распоряжении ТАСС.</w:t>
      </w:r>
    </w:p>
    <w:p w14:paraId="4FC6C4DA" w14:textId="76A59D05" w:rsidR="00C350A0" w:rsidRPr="00C350A0" w:rsidRDefault="00CE289A" w:rsidP="00C350A0">
      <w:pPr>
        <w:rPr>
          <w:iCs/>
        </w:rPr>
      </w:pPr>
      <w:r>
        <w:rPr>
          <w:iCs/>
        </w:rPr>
        <w:t>«</w:t>
      </w:r>
      <w:r w:rsidR="00C350A0" w:rsidRPr="00C350A0">
        <w:rPr>
          <w:iCs/>
        </w:rPr>
        <w:t>Бюджетные ассигнования, предусмотренные на реализацию государственной программы эффективного вовлечения в оборот земель сельскохозяйственного назначения и развития мелиоративного комплекса, в 2022 году составят 29 млрд 730,8 млн рублей, в 2023 году - 30 млрд 782,1 млн рублей и в 2024 году - 33 млрд 828,1 млн рублей</w:t>
      </w:r>
      <w:r>
        <w:rPr>
          <w:iCs/>
        </w:rPr>
        <w:t>»</w:t>
      </w:r>
      <w:r w:rsidR="00C350A0" w:rsidRPr="00C350A0">
        <w:rPr>
          <w:iCs/>
        </w:rPr>
        <w:t xml:space="preserve">, - говорится в документе. </w:t>
      </w:r>
      <w:r w:rsidR="00C350A0" w:rsidRPr="00C350A0">
        <w:rPr>
          <w:i/>
        </w:rPr>
        <w:t>ТАСС</w:t>
      </w:r>
      <w:r w:rsidR="00C350A0" w:rsidRPr="00C350A0">
        <w:rPr>
          <w:iCs/>
        </w:rPr>
        <w:t xml:space="preserve"> </w:t>
      </w:r>
    </w:p>
    <w:p w14:paraId="177AC7F3" w14:textId="77777777" w:rsidR="00C350A0" w:rsidRPr="00C350A0" w:rsidRDefault="00C350A0" w:rsidP="00C350A0">
      <w:pPr>
        <w:rPr>
          <w:iCs/>
        </w:rPr>
      </w:pPr>
    </w:p>
    <w:p w14:paraId="5C556634" w14:textId="19B05CDB" w:rsidR="00C350A0" w:rsidRPr="00C350A0" w:rsidRDefault="00C350A0" w:rsidP="00C350A0">
      <w:pPr>
        <w:rPr>
          <w:b/>
          <w:bCs/>
          <w:iCs/>
        </w:rPr>
      </w:pPr>
      <w:r w:rsidRPr="00C350A0">
        <w:rPr>
          <w:b/>
          <w:bCs/>
          <w:iCs/>
        </w:rPr>
        <w:t>ДОХОДЫ ОТ ЭКСПОРТНЫХ ПОШЛИН НА ЗЕРНО НАПРАВЯТ НА РАЗВИТИЕ СЕЛА</w:t>
      </w:r>
    </w:p>
    <w:p w14:paraId="533ECA2E" w14:textId="77777777" w:rsidR="00C350A0" w:rsidRPr="00C350A0" w:rsidRDefault="00C350A0" w:rsidP="00C350A0">
      <w:pPr>
        <w:rPr>
          <w:iCs/>
        </w:rPr>
      </w:pPr>
      <w:r w:rsidRPr="00C350A0">
        <w:rPr>
          <w:iCs/>
        </w:rPr>
        <w:t xml:space="preserve">На госпрограмму комплексного развития сельских территорий в 2022-2024 годах добавят в общей сложности около 14 млрд рублей бюджетных ассигнований. </w:t>
      </w:r>
    </w:p>
    <w:p w14:paraId="2ADF3921" w14:textId="77777777" w:rsidR="00C350A0" w:rsidRPr="00C350A0" w:rsidRDefault="00C350A0" w:rsidP="00C350A0">
      <w:pPr>
        <w:rPr>
          <w:iCs/>
        </w:rPr>
      </w:pPr>
      <w:r w:rsidRPr="00C350A0">
        <w:rPr>
          <w:iCs/>
        </w:rPr>
        <w:t>В 2022 году расходы по программе составят 36,24 млрд рублей, в 2023 году - 40,4 млрд рублей, в 2024 году - 40,79 млрд рублей. В сравнении с ранее утвержденными цифрами расходы вырастут почти на 4,6 млрд рублей в 2022 году, на 8,92 млрд рублей в 2023 году, на 386,5 млн рублей в 2024 году.</w:t>
      </w:r>
    </w:p>
    <w:p w14:paraId="3FD05283" w14:textId="03C2BD80" w:rsidR="00C350A0" w:rsidRPr="00C350A0" w:rsidRDefault="00C350A0" w:rsidP="00C42B92">
      <w:pPr>
        <w:rPr>
          <w:iCs/>
        </w:rPr>
      </w:pPr>
      <w:r w:rsidRPr="00C350A0">
        <w:rPr>
          <w:iCs/>
        </w:rPr>
        <w:t xml:space="preserve">В частности, будут увеличены расходы на развитие жилищного строительства, транспортной инфраструктуры, благоустройство. На это планируется направить дополнительные доходы бюджета от экспортных пошлин на зерно. </w:t>
      </w:r>
      <w:r w:rsidRPr="00C350A0">
        <w:rPr>
          <w:i/>
        </w:rPr>
        <w:t>Российская газета</w:t>
      </w:r>
    </w:p>
    <w:p w14:paraId="7ABBE524" w14:textId="79D51DC7" w:rsidR="00001659" w:rsidRDefault="00001659" w:rsidP="007921C6">
      <w:pPr>
        <w:rPr>
          <w:i/>
        </w:rPr>
      </w:pPr>
    </w:p>
    <w:p w14:paraId="6278362E" w14:textId="1F2B1073" w:rsidR="00001659" w:rsidRPr="00001659" w:rsidRDefault="00001659" w:rsidP="00001659">
      <w:pPr>
        <w:rPr>
          <w:b/>
          <w:bCs/>
          <w:iCs/>
        </w:rPr>
      </w:pPr>
      <w:r w:rsidRPr="00001659">
        <w:rPr>
          <w:b/>
          <w:bCs/>
          <w:iCs/>
        </w:rPr>
        <w:t>ПРОЕКТ БЮДЖЕТА ПРЕДУСМАТРИВАЕТ ПРОРАБОТКУ ВВЕДЕНИЯ АКЦИЗА НА КАЛОРИЙНУЮ ГАЗИРОВКУ</w:t>
      </w:r>
    </w:p>
    <w:p w14:paraId="38C373B4" w14:textId="77777777" w:rsidR="00001659" w:rsidRPr="00001659" w:rsidRDefault="00001659" w:rsidP="00001659">
      <w:pPr>
        <w:rPr>
          <w:iCs/>
        </w:rPr>
      </w:pPr>
      <w:r w:rsidRPr="00001659">
        <w:rPr>
          <w:iCs/>
        </w:rPr>
        <w:t>Власти могут рассмотреть предложение о введении акциза на калорийные безалкогольные газированные напитки. Данная мера предусмотрена в приложении к Основным направлениям бюджетной, налоговой и таможенно-тарифной политики на 2022 год и на плановый период 2023 и 2024 годов, которое есть в распоряжении ТАСС.</w:t>
      </w:r>
    </w:p>
    <w:p w14:paraId="7A0E9D00" w14:textId="52D6A6EC" w:rsidR="004212AB" w:rsidRPr="002436D2" w:rsidRDefault="00001659" w:rsidP="00001659">
      <w:pPr>
        <w:rPr>
          <w:i/>
        </w:rPr>
      </w:pPr>
      <w:r w:rsidRPr="00001659">
        <w:rPr>
          <w:iCs/>
        </w:rPr>
        <w:t xml:space="preserve">"Проработка предложения Минздрава России о введении акциза на калорийные безалкогольные газированные напитки с целью ограничения потребления таких продуктов, что принесет дополнительные доходы бюджетной системе Российской Федерации", - говорится в разделе документа, где перечисляются актуальные вопросы налогообложения на перспективу. </w:t>
      </w:r>
      <w:r w:rsidRPr="00001659">
        <w:rPr>
          <w:i/>
        </w:rPr>
        <w:t>ТАСС</w:t>
      </w:r>
    </w:p>
    <w:p w14:paraId="45D8E343" w14:textId="77777777" w:rsidR="00C8396B" w:rsidRDefault="00F62502">
      <w:pPr>
        <w:pStyle w:val="a8"/>
        <w:spacing w:before="240"/>
        <w:outlineLvl w:val="0"/>
      </w:pPr>
      <w:bookmarkStart w:id="10" w:name="SEC_5"/>
      <w:bookmarkEnd w:id="9"/>
      <w:r>
        <w:t>Агропромышленный комплекс</w:t>
      </w:r>
    </w:p>
    <w:p w14:paraId="42307A76" w14:textId="77777777" w:rsidR="00C350A0" w:rsidRDefault="00C350A0" w:rsidP="00C350A0">
      <w:pPr>
        <w:rPr>
          <w:b/>
          <w:bCs/>
          <w:iCs/>
        </w:rPr>
      </w:pPr>
    </w:p>
    <w:p w14:paraId="6EB413F6" w14:textId="3433CC46" w:rsidR="00C350A0" w:rsidRPr="00C350A0" w:rsidRDefault="00C350A0" w:rsidP="00C350A0">
      <w:pPr>
        <w:rPr>
          <w:b/>
          <w:bCs/>
          <w:iCs/>
        </w:rPr>
      </w:pPr>
      <w:r w:rsidRPr="00C350A0">
        <w:rPr>
          <w:b/>
          <w:bCs/>
          <w:iCs/>
        </w:rPr>
        <w:t>РФ И КИТАЙ СОГЛАСОВАЛИ УСЛОВИЯ ПОСТАВКИ РОССИЙСКОЙ ГОВЯДИНЫ - РОССЕЛЬХОЗНАДЗОР</w:t>
      </w:r>
    </w:p>
    <w:p w14:paraId="0D6EB224" w14:textId="77777777" w:rsidR="00C350A0" w:rsidRPr="00C350A0" w:rsidRDefault="00C350A0" w:rsidP="00C350A0">
      <w:pPr>
        <w:rPr>
          <w:iCs/>
        </w:rPr>
      </w:pPr>
      <w:r w:rsidRPr="00C350A0">
        <w:rPr>
          <w:iCs/>
        </w:rPr>
        <w:t>Россельхознадзор и Главное таможенное управлением КНР завершили согласование условий поставок говядины и говяжьих субпродуктов из России в Китай.</w:t>
      </w:r>
    </w:p>
    <w:p w14:paraId="10E650BD" w14:textId="11556DE1" w:rsidR="00C350A0" w:rsidRPr="00C350A0" w:rsidRDefault="00C350A0" w:rsidP="00C350A0">
      <w:pPr>
        <w:rPr>
          <w:iCs/>
        </w:rPr>
      </w:pPr>
      <w:r w:rsidRPr="00C350A0">
        <w:rPr>
          <w:iCs/>
        </w:rPr>
        <w:t xml:space="preserve">Как сообщает Россельхознадзор, итогом этой работы стало подписание протокола в отношении проверок, карантина и ветеринарных санитарных требований к говядине, экспортируемой из России. </w:t>
      </w:r>
      <w:r w:rsidR="00CE289A">
        <w:rPr>
          <w:iCs/>
        </w:rPr>
        <w:t>«</w:t>
      </w:r>
      <w:r w:rsidRPr="00C350A0">
        <w:rPr>
          <w:iCs/>
        </w:rPr>
        <w:t>Подписание этого документа - важный и долгожданный шаг на пути к выстраиванию взаимовыгодных и максимально эффективных торгово-экономических отношений между двумя странами</w:t>
      </w:r>
      <w:r w:rsidR="00CE289A">
        <w:rPr>
          <w:iCs/>
        </w:rPr>
        <w:t>»</w:t>
      </w:r>
      <w:r w:rsidRPr="00C350A0">
        <w:rPr>
          <w:iCs/>
        </w:rPr>
        <w:t xml:space="preserve">, - говорится в сообщении. </w:t>
      </w:r>
      <w:r w:rsidRPr="00C350A0">
        <w:rPr>
          <w:i/>
        </w:rPr>
        <w:t>Интерфакс</w:t>
      </w:r>
      <w:r w:rsidRPr="00C350A0">
        <w:rPr>
          <w:iCs/>
        </w:rPr>
        <w:t xml:space="preserve"> </w:t>
      </w:r>
    </w:p>
    <w:p w14:paraId="285BD7AF" w14:textId="4022C4D7" w:rsidR="00C42B92" w:rsidRPr="00C42B92" w:rsidRDefault="0091585E" w:rsidP="00C42B92">
      <w:pPr>
        <w:pStyle w:val="a9"/>
      </w:pPr>
      <w:hyperlink r:id="rId9" w:history="1">
        <w:r w:rsidR="00C42B92" w:rsidRPr="00C42B92">
          <w:t>Россельхознадзор продлевает срок сертификации кормов для иностранных компаний</w:t>
        </w:r>
      </w:hyperlink>
    </w:p>
    <w:p w14:paraId="666E1815" w14:textId="77777777" w:rsidR="00C42B92" w:rsidRDefault="00C42B92" w:rsidP="00C42B92">
      <w:r w:rsidRPr="00C42B92">
        <w:rPr>
          <w:b/>
        </w:rPr>
        <w:t>Россельхознадзор</w:t>
      </w:r>
      <w:r>
        <w:t xml:space="preserve"> продлевает на три месяца срок сертификации кормов и кормовых добавок для иностранных компаний. Об этом говорится в сообщении ведомства.</w:t>
      </w:r>
    </w:p>
    <w:p w14:paraId="289ED0B8" w14:textId="03E4F79E" w:rsidR="00C42B92" w:rsidRDefault="00C42B92" w:rsidP="00C42B92">
      <w:pPr>
        <w:rPr>
          <w:i/>
        </w:rPr>
      </w:pPr>
      <w:r>
        <w:t xml:space="preserve">В ведомстве указали, что решение </w:t>
      </w:r>
      <w:r w:rsidRPr="00C42B92">
        <w:rPr>
          <w:b/>
        </w:rPr>
        <w:t>Россельхознадзора</w:t>
      </w:r>
      <w:r>
        <w:t xml:space="preserve"> связано с тем, что изначально установленный в июне текущего года срок не все ветеринарные службы стран - поставщиков успели предоставить полный перечень запрашиваемых материалов, однако они сообщили, что активно занимаются их подготовкой. </w:t>
      </w:r>
      <w:r w:rsidRPr="004A533A">
        <w:rPr>
          <w:i/>
        </w:rPr>
        <w:t>ТАСС</w:t>
      </w:r>
    </w:p>
    <w:p w14:paraId="01FC1A61" w14:textId="3F8CB4A2" w:rsidR="00C350A0" w:rsidRDefault="00C350A0" w:rsidP="00C42B92">
      <w:pPr>
        <w:rPr>
          <w:i/>
        </w:rPr>
      </w:pPr>
    </w:p>
    <w:p w14:paraId="0D8A99ED" w14:textId="1E6D1DD2" w:rsidR="00C350A0" w:rsidRPr="00C350A0" w:rsidRDefault="00CE289A" w:rsidP="00C350A0">
      <w:pPr>
        <w:rPr>
          <w:b/>
          <w:bCs/>
          <w:iCs/>
        </w:rPr>
      </w:pPr>
      <w:r>
        <w:rPr>
          <w:b/>
          <w:bCs/>
          <w:iCs/>
        </w:rPr>
        <w:t>«</w:t>
      </w:r>
      <w:r w:rsidR="00C350A0" w:rsidRPr="00C350A0">
        <w:rPr>
          <w:b/>
          <w:bCs/>
          <w:iCs/>
        </w:rPr>
        <w:t>СОВЭКОН</w:t>
      </w:r>
      <w:r>
        <w:rPr>
          <w:b/>
          <w:bCs/>
          <w:iCs/>
        </w:rPr>
        <w:t>»</w:t>
      </w:r>
      <w:r w:rsidR="00C350A0" w:rsidRPr="00C350A0">
        <w:rPr>
          <w:b/>
          <w:bCs/>
          <w:iCs/>
        </w:rPr>
        <w:t xml:space="preserve"> ПОВЫСИЛ ПРОГНОЗ ПО УРОЖАЮ ПШЕНИЦЫ В РОССИИ В 2021 ГОДУ ДО 75,6 МЛН ТОНН</w:t>
      </w:r>
    </w:p>
    <w:p w14:paraId="193FD57E" w14:textId="2DE7D5B2" w:rsidR="00C350A0" w:rsidRPr="00C350A0" w:rsidRDefault="00C350A0" w:rsidP="00C350A0">
      <w:pPr>
        <w:rPr>
          <w:iCs/>
        </w:rPr>
      </w:pPr>
      <w:r w:rsidRPr="00C350A0">
        <w:rPr>
          <w:iCs/>
        </w:rPr>
        <w:t xml:space="preserve">Аналитическая компания </w:t>
      </w:r>
      <w:r w:rsidR="00CE289A">
        <w:rPr>
          <w:iCs/>
        </w:rPr>
        <w:t>«</w:t>
      </w:r>
      <w:r w:rsidRPr="00C350A0">
        <w:rPr>
          <w:iCs/>
        </w:rPr>
        <w:t>Совэкон</w:t>
      </w:r>
      <w:r w:rsidR="00CE289A">
        <w:rPr>
          <w:iCs/>
        </w:rPr>
        <w:t>»</w:t>
      </w:r>
      <w:r w:rsidRPr="00C350A0">
        <w:rPr>
          <w:iCs/>
        </w:rPr>
        <w:t>, которая специализируется на изучении аграрных рынков, повысила прогноз по урожаю пшеницы в РФ в 2021 году на 0,2 млн тонн, до 75,6 млн тонн. Об этом говорится в сообщении компании.</w:t>
      </w:r>
    </w:p>
    <w:p w14:paraId="1A2F90DD" w14:textId="3A9BD6D3" w:rsidR="00001659" w:rsidRPr="00001659" w:rsidRDefault="00CE289A" w:rsidP="00E6281A">
      <w:pPr>
        <w:rPr>
          <w:iCs/>
        </w:rPr>
      </w:pPr>
      <w:r>
        <w:rPr>
          <w:iCs/>
        </w:rPr>
        <w:t>«</w:t>
      </w:r>
      <w:r w:rsidR="00C350A0" w:rsidRPr="00C350A0">
        <w:rPr>
          <w:iCs/>
        </w:rPr>
        <w:t>Совэкон</w:t>
      </w:r>
      <w:r>
        <w:rPr>
          <w:iCs/>
        </w:rPr>
        <w:t>»</w:t>
      </w:r>
      <w:r w:rsidR="00C350A0" w:rsidRPr="00C350A0">
        <w:rPr>
          <w:iCs/>
        </w:rPr>
        <w:t xml:space="preserve"> повысила прогноз урожая пшеницы в России на 0,2 млн т, до 75,6 млн тонн. Это отражает хорошие урожаи в Сибири, что частично компенсирует низкие показатели урожая в других регионах, которые мы наблюдали в этом году</w:t>
      </w:r>
      <w:r>
        <w:rPr>
          <w:iCs/>
        </w:rPr>
        <w:t>»</w:t>
      </w:r>
      <w:r w:rsidR="00C350A0" w:rsidRPr="00C350A0">
        <w:rPr>
          <w:iCs/>
        </w:rPr>
        <w:t xml:space="preserve">, - отмечается в сообщении. </w:t>
      </w:r>
      <w:r w:rsidR="00C350A0" w:rsidRPr="00C350A0">
        <w:rPr>
          <w:i/>
        </w:rPr>
        <w:t>ТАСС</w:t>
      </w:r>
    </w:p>
    <w:p w14:paraId="69203219" w14:textId="77777777" w:rsidR="00001659" w:rsidRPr="00C350A0" w:rsidRDefault="00001659" w:rsidP="00E6281A">
      <w:pPr>
        <w:rPr>
          <w:b/>
          <w:bCs/>
          <w:i/>
        </w:rPr>
      </w:pPr>
    </w:p>
    <w:p w14:paraId="0875EF3C" w14:textId="6BDF1FEC" w:rsidR="00C350A0" w:rsidRPr="00C350A0" w:rsidRDefault="00C350A0" w:rsidP="00C350A0">
      <w:pPr>
        <w:rPr>
          <w:b/>
          <w:bCs/>
          <w:iCs/>
        </w:rPr>
      </w:pPr>
      <w:r w:rsidRPr="00C350A0">
        <w:rPr>
          <w:b/>
          <w:bCs/>
          <w:iCs/>
        </w:rPr>
        <w:t>РОЗНИЧНЫЕ ПРОДАЖИ ФРУКТОВ И ОВОЩЕЙ В РФ В 2021 ГОДУ ВЫРАСТУТ НА 3,3%, ДО 22,2 МЛН ТОНН</w:t>
      </w:r>
    </w:p>
    <w:p w14:paraId="2F679429" w14:textId="29AD802D" w:rsidR="00C350A0" w:rsidRPr="00C350A0" w:rsidRDefault="00C350A0" w:rsidP="00C350A0">
      <w:pPr>
        <w:rPr>
          <w:iCs/>
        </w:rPr>
      </w:pPr>
      <w:r w:rsidRPr="00C350A0">
        <w:rPr>
          <w:iCs/>
        </w:rPr>
        <w:t xml:space="preserve">Розничный рынок овощей и фруктов в РФ в 2021 году по сравнению с прошлым годом вырастет на 3,3%, до 22,2 млн тонн, следует из презентации центра </w:t>
      </w:r>
      <w:r w:rsidR="00CE289A">
        <w:rPr>
          <w:iCs/>
        </w:rPr>
        <w:t>«</w:t>
      </w:r>
      <w:r w:rsidRPr="00C350A0">
        <w:rPr>
          <w:iCs/>
        </w:rPr>
        <w:t>Ясные решения</w:t>
      </w:r>
      <w:r w:rsidR="00CE289A">
        <w:rPr>
          <w:iCs/>
        </w:rPr>
        <w:t>»</w:t>
      </w:r>
      <w:r w:rsidRPr="00C350A0">
        <w:rPr>
          <w:iCs/>
        </w:rPr>
        <w:t xml:space="preserve"> на конференции в рамках деловой программы выставки World Food в Москве во вторник. С 2015 по 2020 годы рынок вырос на 15%, до 21,5 млн тонн. </w:t>
      </w:r>
      <w:r w:rsidRPr="00C350A0">
        <w:rPr>
          <w:i/>
        </w:rPr>
        <w:t>Интерфакс</w:t>
      </w:r>
      <w:r w:rsidRPr="00C350A0">
        <w:rPr>
          <w:iCs/>
        </w:rPr>
        <w:t xml:space="preserve"> </w:t>
      </w:r>
    </w:p>
    <w:p w14:paraId="33ABA7AF" w14:textId="77777777" w:rsidR="00C350A0" w:rsidRPr="00C350A0" w:rsidRDefault="00C350A0" w:rsidP="00C350A0">
      <w:pPr>
        <w:rPr>
          <w:iCs/>
        </w:rPr>
      </w:pPr>
    </w:p>
    <w:p w14:paraId="5B4CC6A7" w14:textId="64A8F7DF" w:rsidR="00C350A0" w:rsidRPr="00C350A0" w:rsidRDefault="00C350A0" w:rsidP="00C350A0">
      <w:pPr>
        <w:rPr>
          <w:b/>
          <w:bCs/>
          <w:iCs/>
        </w:rPr>
      </w:pPr>
      <w:r w:rsidRPr="00C350A0">
        <w:rPr>
          <w:b/>
          <w:bCs/>
          <w:iCs/>
        </w:rPr>
        <w:t>РАСХОДЫ РОССИЯН НА ОВОЩИ И ФРУКТЫ РАСТУТ БЫСТРЕЕ, ЧЕМ НА ДРУГОЕ ПРОДОВОЛЬСТВИЕ - ИССЛЕДОВАНИЕ</w:t>
      </w:r>
    </w:p>
    <w:p w14:paraId="2B6DEBF5" w14:textId="77777777" w:rsidR="00C350A0" w:rsidRPr="00C350A0" w:rsidRDefault="00C350A0" w:rsidP="00C350A0">
      <w:pPr>
        <w:rPr>
          <w:iCs/>
        </w:rPr>
      </w:pPr>
      <w:r w:rsidRPr="00C350A0">
        <w:rPr>
          <w:iCs/>
        </w:rPr>
        <w:t>Расходы россиян на овощи и фрукты растут быстрее, чем на другие продукты из продовольственной корзины. При этом в этом сегменте увеличивается популярность грибов и авокадо, следует из исследования GfK Rus, представленного в рамках деловой программы выставки World Food в Москве во вторник.</w:t>
      </w:r>
    </w:p>
    <w:p w14:paraId="3301D013" w14:textId="77777777" w:rsidR="00C350A0" w:rsidRPr="00C350A0" w:rsidRDefault="00C350A0" w:rsidP="00C350A0">
      <w:pPr>
        <w:rPr>
          <w:iCs/>
        </w:rPr>
      </w:pPr>
      <w:r w:rsidRPr="00C350A0">
        <w:rPr>
          <w:iCs/>
        </w:rPr>
        <w:t>Согласно презентации, расходы домохозяйств на покупку товаров FMCG в июне составили 15 846 рублей. Наибольший рост - на 14% - показали овощи и фрукты. В то же время, к примеру, расходы на мясо и молочные продукты выросли на 3%, на хлебобулочные изделия - на 4%, на рыбу - на 5%, на бакалейные товары - на 7%.</w:t>
      </w:r>
    </w:p>
    <w:p w14:paraId="679839F9" w14:textId="77777777" w:rsidR="00C350A0" w:rsidRPr="00C350A0" w:rsidRDefault="00C350A0" w:rsidP="00C350A0">
      <w:pPr>
        <w:rPr>
          <w:iCs/>
        </w:rPr>
      </w:pPr>
      <w:r w:rsidRPr="00C350A0">
        <w:rPr>
          <w:iCs/>
        </w:rPr>
        <w:t xml:space="preserve">Как сообщила старший исследователь Меланья Саакян, доля овощей и фруктов в структуре расходов населения на рынке FMCG составляет порядка 9%. </w:t>
      </w:r>
      <w:r w:rsidRPr="00C350A0">
        <w:rPr>
          <w:i/>
        </w:rPr>
        <w:t>Интерфакс</w:t>
      </w:r>
      <w:r w:rsidRPr="00C350A0">
        <w:rPr>
          <w:iCs/>
        </w:rPr>
        <w:t xml:space="preserve"> </w:t>
      </w:r>
    </w:p>
    <w:p w14:paraId="05999808" w14:textId="77777777" w:rsidR="00C350A0" w:rsidRPr="00C350A0" w:rsidRDefault="00C350A0" w:rsidP="00C350A0">
      <w:pPr>
        <w:rPr>
          <w:iCs/>
        </w:rPr>
      </w:pPr>
    </w:p>
    <w:p w14:paraId="706A2E6A" w14:textId="5F89DA04" w:rsidR="00C350A0" w:rsidRPr="00C350A0" w:rsidRDefault="00C350A0" w:rsidP="00C350A0">
      <w:pPr>
        <w:rPr>
          <w:b/>
          <w:bCs/>
          <w:iCs/>
        </w:rPr>
      </w:pPr>
      <w:r w:rsidRPr="00C350A0">
        <w:rPr>
          <w:b/>
          <w:bCs/>
          <w:iCs/>
        </w:rPr>
        <w:t>МАКАРОННЫЕ ФАБРИКИ РФ ЗАЯВИЛИ О ДЕФИЦИТЕ ТВЕРДОЙ ПШЕНИЦЫ И РЕЗКОМ РОСТЕ ЦЕН НА СЫРЬЕ</w:t>
      </w:r>
    </w:p>
    <w:p w14:paraId="34838B99" w14:textId="7633DFC3" w:rsidR="00C350A0" w:rsidRPr="00C350A0" w:rsidRDefault="00C350A0" w:rsidP="00C350A0">
      <w:pPr>
        <w:rPr>
          <w:iCs/>
        </w:rPr>
      </w:pPr>
      <w:r w:rsidRPr="00C350A0">
        <w:rPr>
          <w:iCs/>
        </w:rPr>
        <w:t xml:space="preserve">Производители макаронных изделий в РФ столкнулись с дефицитом твердых сортов пшеницы и с резким ростом цен на сырье и материалы, что может привести к существенному увеличению стоимости конечной продукции. Об этом заявили во вторник участники </w:t>
      </w:r>
      <w:r w:rsidR="00CE289A">
        <w:rPr>
          <w:iCs/>
        </w:rPr>
        <w:t>«</w:t>
      </w:r>
      <w:r w:rsidRPr="00C350A0">
        <w:rPr>
          <w:iCs/>
        </w:rPr>
        <w:t>круглого стола</w:t>
      </w:r>
      <w:r w:rsidR="00CE289A">
        <w:rPr>
          <w:iCs/>
        </w:rPr>
        <w:t>»</w:t>
      </w:r>
      <w:r w:rsidRPr="00C350A0">
        <w:rPr>
          <w:iCs/>
        </w:rPr>
        <w:t>, посвященного ситуации на рынке.</w:t>
      </w:r>
    </w:p>
    <w:p w14:paraId="358F466C" w14:textId="29434975" w:rsidR="00C350A0" w:rsidRPr="00C350A0" w:rsidRDefault="00C350A0" w:rsidP="00C350A0">
      <w:pPr>
        <w:rPr>
          <w:iCs/>
        </w:rPr>
      </w:pPr>
      <w:r w:rsidRPr="00C350A0">
        <w:rPr>
          <w:iCs/>
        </w:rPr>
        <w:t xml:space="preserve">Генеральный директор ОАО </w:t>
      </w:r>
      <w:r w:rsidR="00CE289A">
        <w:rPr>
          <w:iCs/>
        </w:rPr>
        <w:t>«</w:t>
      </w:r>
      <w:r w:rsidRPr="00C350A0">
        <w:rPr>
          <w:iCs/>
        </w:rPr>
        <w:t>Экстра М</w:t>
      </w:r>
      <w:r w:rsidR="00CE289A">
        <w:rPr>
          <w:iCs/>
        </w:rPr>
        <w:t>»</w:t>
      </w:r>
      <w:r w:rsidRPr="00C350A0">
        <w:rPr>
          <w:iCs/>
        </w:rPr>
        <w:t xml:space="preserve"> Лоренцо Трашинелли отметил, что из-за столь резкого роста цен у производителей макарон </w:t>
      </w:r>
      <w:r w:rsidR="00CE289A">
        <w:rPr>
          <w:iCs/>
        </w:rPr>
        <w:t>«</w:t>
      </w:r>
      <w:r w:rsidRPr="00C350A0">
        <w:rPr>
          <w:iCs/>
        </w:rPr>
        <w:t>наступает паника</w:t>
      </w:r>
      <w:r w:rsidR="00CE289A">
        <w:rPr>
          <w:iCs/>
        </w:rPr>
        <w:t>»</w:t>
      </w:r>
      <w:r w:rsidRPr="00C350A0">
        <w:rPr>
          <w:iCs/>
        </w:rPr>
        <w:t xml:space="preserve">. Многие сейчас работают на старых запасах, которых хватит примерно до конца текущего года, а затем придется закупать пшеницу нового урожая, цены на которую, </w:t>
      </w:r>
      <w:r w:rsidR="00CE289A">
        <w:rPr>
          <w:iCs/>
        </w:rPr>
        <w:t>«</w:t>
      </w:r>
      <w:r w:rsidRPr="00C350A0">
        <w:rPr>
          <w:iCs/>
        </w:rPr>
        <w:t>боюсь, будут очень высокие</w:t>
      </w:r>
      <w:r w:rsidR="00CE289A">
        <w:rPr>
          <w:iCs/>
        </w:rPr>
        <w:t>»</w:t>
      </w:r>
      <w:r w:rsidRPr="00C350A0">
        <w:rPr>
          <w:iCs/>
        </w:rPr>
        <w:t>, заявил он.</w:t>
      </w:r>
    </w:p>
    <w:p w14:paraId="50E493AC" w14:textId="66F45FB9" w:rsidR="00C350A0" w:rsidRPr="00C350A0" w:rsidRDefault="00C350A0" w:rsidP="00C350A0">
      <w:pPr>
        <w:rPr>
          <w:iCs/>
        </w:rPr>
      </w:pPr>
      <w:r w:rsidRPr="00C350A0">
        <w:rPr>
          <w:iCs/>
        </w:rPr>
        <w:t>Дополнительной проблемой для макаронного бизнеса стал рост затрат на комплектующие. Ситуация с ростом цен на сырье приведет к повышению цен на макаронные изделия, уверены производители.</w:t>
      </w:r>
    </w:p>
    <w:p w14:paraId="6C01FBB5" w14:textId="77777777" w:rsidR="00C350A0" w:rsidRPr="00C350A0" w:rsidRDefault="00C350A0" w:rsidP="00C350A0">
      <w:pPr>
        <w:rPr>
          <w:iCs/>
        </w:rPr>
      </w:pPr>
      <w:r w:rsidRPr="00C350A0">
        <w:rPr>
          <w:iCs/>
        </w:rPr>
        <w:t>Чтобы снять напряжение на рынке, производители макарон предлагают ввести заградительные пошлины на экспорт пшеницы твердых сортов. Соответствующее обращение представители рынка направили ранее премьер-министру РФ Михаилу Мишустину.</w:t>
      </w:r>
    </w:p>
    <w:p w14:paraId="078DA028" w14:textId="078D390B" w:rsidR="00001659" w:rsidRDefault="00C350A0" w:rsidP="00C350A0">
      <w:pPr>
        <w:rPr>
          <w:iCs/>
        </w:rPr>
      </w:pPr>
      <w:r w:rsidRPr="00C350A0">
        <w:rPr>
          <w:iCs/>
        </w:rPr>
        <w:t xml:space="preserve">При этом во время </w:t>
      </w:r>
      <w:r w:rsidR="00CE289A">
        <w:rPr>
          <w:iCs/>
        </w:rPr>
        <w:t>«</w:t>
      </w:r>
      <w:r w:rsidRPr="00C350A0">
        <w:rPr>
          <w:iCs/>
        </w:rPr>
        <w:t>круглого стола</w:t>
      </w:r>
      <w:r w:rsidR="00CE289A">
        <w:rPr>
          <w:iCs/>
        </w:rPr>
        <w:t>»</w:t>
      </w:r>
      <w:r w:rsidRPr="00C350A0">
        <w:rPr>
          <w:iCs/>
        </w:rPr>
        <w:t xml:space="preserve"> его участники пришли к выводу, что одни пошлины проблему не решат, так как твердая пшеница вывозится за пределы РФ крайне редко. По итогам </w:t>
      </w:r>
      <w:r w:rsidR="00CE289A">
        <w:rPr>
          <w:iCs/>
        </w:rPr>
        <w:t>«</w:t>
      </w:r>
      <w:r w:rsidRPr="00C350A0">
        <w:rPr>
          <w:iCs/>
        </w:rPr>
        <w:t>круглого стола</w:t>
      </w:r>
      <w:r w:rsidR="00CE289A">
        <w:rPr>
          <w:iCs/>
        </w:rPr>
        <w:t>»</w:t>
      </w:r>
      <w:r w:rsidRPr="00C350A0">
        <w:rPr>
          <w:iCs/>
        </w:rPr>
        <w:t xml:space="preserve"> представители макаронного бизнеса решили обратиться к президенту РФ. В итоговой резолюции мероприятия, которая имеется в распоряжении </w:t>
      </w:r>
      <w:r w:rsidR="00CE289A">
        <w:rPr>
          <w:iCs/>
        </w:rPr>
        <w:t>«</w:t>
      </w:r>
      <w:r w:rsidRPr="00C350A0">
        <w:rPr>
          <w:iCs/>
        </w:rPr>
        <w:t>Интерфакса</w:t>
      </w:r>
      <w:r w:rsidR="00CE289A">
        <w:rPr>
          <w:iCs/>
        </w:rPr>
        <w:t>»</w:t>
      </w:r>
      <w:r w:rsidRPr="00C350A0">
        <w:rPr>
          <w:iCs/>
        </w:rPr>
        <w:t xml:space="preserve">, указано, что обращение должно быть направлено до 25 сентября. </w:t>
      </w:r>
      <w:r w:rsidRPr="00C350A0">
        <w:rPr>
          <w:i/>
        </w:rPr>
        <w:t>Интерфакс</w:t>
      </w:r>
      <w:r w:rsidRPr="00C350A0">
        <w:rPr>
          <w:iCs/>
        </w:rPr>
        <w:t xml:space="preserve"> </w:t>
      </w:r>
    </w:p>
    <w:p w14:paraId="12FB5AE5" w14:textId="77777777" w:rsidR="00001659" w:rsidRPr="00C350A0" w:rsidRDefault="00001659" w:rsidP="00C350A0">
      <w:pPr>
        <w:rPr>
          <w:iCs/>
        </w:rPr>
      </w:pPr>
    </w:p>
    <w:p w14:paraId="65B2B24E" w14:textId="75BE040D" w:rsidR="00C350A0" w:rsidRPr="00C350A0" w:rsidRDefault="00C350A0" w:rsidP="00C350A0">
      <w:pPr>
        <w:rPr>
          <w:b/>
          <w:bCs/>
          <w:iCs/>
        </w:rPr>
      </w:pPr>
      <w:r w:rsidRPr="00C350A0">
        <w:rPr>
          <w:b/>
          <w:bCs/>
          <w:iCs/>
        </w:rPr>
        <w:t>VALIO ОТКАЗАЛАСЬ ОТ ПРОИЗВОДСТВА НА ПЛОЩАДКЕ EHRMANN</w:t>
      </w:r>
    </w:p>
    <w:p w14:paraId="136F3E5E" w14:textId="5BCF8EEE" w:rsidR="00C350A0" w:rsidRPr="00C350A0" w:rsidRDefault="00C350A0" w:rsidP="00C350A0">
      <w:pPr>
        <w:rPr>
          <w:iCs/>
        </w:rPr>
      </w:pPr>
      <w:r w:rsidRPr="00C350A0">
        <w:rPr>
          <w:iCs/>
        </w:rPr>
        <w:t xml:space="preserve">Российская структура немецкой Ehrmann (бренды Epica, </w:t>
      </w:r>
      <w:r w:rsidR="00CE289A">
        <w:rPr>
          <w:iCs/>
        </w:rPr>
        <w:t>«</w:t>
      </w:r>
      <w:r w:rsidRPr="00C350A0">
        <w:rPr>
          <w:iCs/>
        </w:rPr>
        <w:t>Эрмигурт</w:t>
      </w:r>
      <w:r w:rsidR="00CE289A">
        <w:rPr>
          <w:iCs/>
        </w:rPr>
        <w:t>»</w:t>
      </w:r>
      <w:r w:rsidRPr="00C350A0">
        <w:rPr>
          <w:iCs/>
        </w:rPr>
        <w:t xml:space="preserve">, </w:t>
      </w:r>
      <w:r w:rsidR="00CE289A">
        <w:rPr>
          <w:iCs/>
        </w:rPr>
        <w:t>«</w:t>
      </w:r>
      <w:r w:rsidRPr="00C350A0">
        <w:rPr>
          <w:iCs/>
        </w:rPr>
        <w:t>Сметановна</w:t>
      </w:r>
      <w:r w:rsidR="00CE289A">
        <w:rPr>
          <w:iCs/>
        </w:rPr>
        <w:t>»</w:t>
      </w:r>
      <w:r w:rsidRPr="00C350A0">
        <w:rPr>
          <w:iCs/>
        </w:rPr>
        <w:t xml:space="preserve"> и др.) обратилась в Арбитражный суд Московской области с заявлением о взыскании со структуры финской Valio свыше 271 млн руб. Заседание по делу назначено на 19 октября.</w:t>
      </w:r>
    </w:p>
    <w:p w14:paraId="6CE5B0D3" w14:textId="0F7D5EF2" w:rsidR="00C350A0" w:rsidRDefault="00C350A0" w:rsidP="00C350A0">
      <w:pPr>
        <w:rPr>
          <w:i/>
        </w:rPr>
      </w:pPr>
      <w:r w:rsidRPr="00C350A0">
        <w:rPr>
          <w:iCs/>
        </w:rPr>
        <w:t xml:space="preserve">В Valio сообщили “Ъ”, что с 2014 года выпускали на мощностях Ehrmann в России густой йогурт и мягкий творог под брендом Valio Clean Label. В конце 2020 года Valio предложила партнеру внести правки в коммерческие условия контракта из-за изменения ситуации на молочном рынке за последние шесть лет. Но компаниям не удалось достигнуть консенсуса, что стало поводом для расторжения контракта и, как следствие, подачи иска. </w:t>
      </w:r>
      <w:r w:rsidRPr="00C350A0">
        <w:rPr>
          <w:i/>
        </w:rPr>
        <w:t>Коммерсантъ</w:t>
      </w:r>
    </w:p>
    <w:p w14:paraId="57B013DF" w14:textId="58D4C931" w:rsidR="00CC4FFC" w:rsidRDefault="00CC4FFC" w:rsidP="00C350A0">
      <w:pPr>
        <w:rPr>
          <w:i/>
        </w:rPr>
      </w:pPr>
    </w:p>
    <w:p w14:paraId="76372F72" w14:textId="3E240FAA" w:rsidR="00CC4FFC" w:rsidRDefault="00CC4FFC" w:rsidP="00C350A0">
      <w:pPr>
        <w:rPr>
          <w:i/>
        </w:rPr>
      </w:pPr>
    </w:p>
    <w:p w14:paraId="0879D24A" w14:textId="77777777" w:rsidR="00CC4FFC" w:rsidRDefault="00CC4FFC" w:rsidP="00C350A0">
      <w:pPr>
        <w:rPr>
          <w:i/>
        </w:rPr>
      </w:pPr>
    </w:p>
    <w:p w14:paraId="1D8063BB" w14:textId="0F33FF46" w:rsidR="00CC4FFC" w:rsidRPr="00CC4FFC" w:rsidRDefault="00CC4FFC" w:rsidP="00CC4FFC">
      <w:pPr>
        <w:rPr>
          <w:b/>
          <w:bCs/>
          <w:iCs/>
        </w:rPr>
      </w:pPr>
      <w:r w:rsidRPr="00CC4FFC">
        <w:rPr>
          <w:b/>
          <w:bCs/>
          <w:iCs/>
        </w:rPr>
        <w:t>В ЙОШКАР-ОЛЕ С ПРИЛАВКОВ МАГАЗИНОВ ИСЧЕЗ ХЛЕБ</w:t>
      </w:r>
    </w:p>
    <w:p w14:paraId="617BEC46" w14:textId="617ECF47" w:rsidR="00CC4FFC" w:rsidRPr="00CC4FFC" w:rsidRDefault="00CC4FFC" w:rsidP="00CC4FFC">
      <w:pPr>
        <w:rPr>
          <w:iCs/>
        </w:rPr>
      </w:pPr>
      <w:r w:rsidRPr="00CC4FFC">
        <w:rPr>
          <w:iCs/>
        </w:rPr>
        <w:t xml:space="preserve">Жители Йошкар-Олы взволнованы дефицитом хлеба на прилавках в городских магазинов. Нехватка выпечки наблюдается в течение нескольких последних дней. В Минсельхозе республики пояснили, что такая ситуация возникла из-за перебоев с доставкой хлеба из Чувашии. В ведомстве заверили, что в ближайшее время хлебозаводы Марий Эл нарастят производство, что позволит заполнить прилавки магазинов. </w:t>
      </w:r>
      <w:r w:rsidRPr="00CC4FFC">
        <w:rPr>
          <w:i/>
        </w:rPr>
        <w:t>Смотрим</w:t>
      </w:r>
    </w:p>
    <w:p w14:paraId="500B99DA" w14:textId="77777777" w:rsidR="00C350A0" w:rsidRPr="00C42B92" w:rsidRDefault="0091585E" w:rsidP="00C350A0">
      <w:pPr>
        <w:pStyle w:val="a9"/>
      </w:pPr>
      <w:hyperlink r:id="rId10" w:history="1">
        <w:r w:rsidR="00C350A0" w:rsidRPr="00C42B92">
          <w:t>Власти Калининградской области планируют контролировать неиспользуемые земли по новой методике</w:t>
        </w:r>
      </w:hyperlink>
    </w:p>
    <w:p w14:paraId="681A26EB" w14:textId="77777777" w:rsidR="00C350A0" w:rsidRDefault="00C350A0" w:rsidP="00C350A0">
      <w:r>
        <w:t>В Калининградской области будет ужесточен и усовершенствован контроль за землей, которая не используется в товарном производстве, сообщила журналистам министр сельского хозяйства региона Наталья Шевцова.</w:t>
      </w:r>
    </w:p>
    <w:p w14:paraId="5C58B7A0" w14:textId="30D0B43F" w:rsidR="00C350A0" w:rsidRPr="00C350A0" w:rsidRDefault="00C350A0" w:rsidP="00E6281A">
      <w:pPr>
        <w:rPr>
          <w:i/>
        </w:rPr>
      </w:pPr>
      <w:r>
        <w:t>Помимо этого</w:t>
      </w:r>
      <w:r w:rsidR="004212AB">
        <w:t>,</w:t>
      </w:r>
      <w:r>
        <w:t xml:space="preserve"> правительство Калининградской области приняло решение с 2022 года не просто выявлять неиспользуемые земли и накладывать на их владельцев небольшие административные штрафы, но и обследовать земли на вопрос ухудшения ее плодородного слоя, добавила министр. </w:t>
      </w:r>
      <w:r w:rsidRPr="004A533A">
        <w:rPr>
          <w:i/>
        </w:rPr>
        <w:t>Интерфакс</w:t>
      </w:r>
    </w:p>
    <w:p w14:paraId="49D8128C" w14:textId="77777777" w:rsidR="00C8396B" w:rsidRDefault="00F62502">
      <w:pPr>
        <w:pStyle w:val="a8"/>
        <w:spacing w:before="240"/>
        <w:outlineLvl w:val="0"/>
      </w:pPr>
      <w:bookmarkStart w:id="11" w:name="SEC_6"/>
      <w:bookmarkEnd w:id="10"/>
      <w:r>
        <w:t>Новости экономики и власти</w:t>
      </w:r>
    </w:p>
    <w:p w14:paraId="014C51D1" w14:textId="77777777" w:rsidR="00C42B92" w:rsidRPr="00C42B92" w:rsidRDefault="0091585E" w:rsidP="00C42B92">
      <w:pPr>
        <w:pStyle w:val="a9"/>
      </w:pPr>
      <w:hyperlink r:id="rId11" w:history="1">
        <w:r w:rsidR="00C42B92" w:rsidRPr="00C42B92">
          <w:t>Правительство РФ утвердило проект бюджета на 2022-2024 годы</w:t>
        </w:r>
      </w:hyperlink>
    </w:p>
    <w:p w14:paraId="4BF2E939" w14:textId="43418934" w:rsidR="00C42B92" w:rsidRDefault="00C42B92" w:rsidP="00C42B92">
      <w:pPr>
        <w:rPr>
          <w:i/>
        </w:rPr>
      </w:pPr>
      <w:r>
        <w:t xml:space="preserve">Правительство РФ одобрило проект федерального бюджета на 2022 год и плановый период 2023-2024 годов. Отмечается, что в следующие два года бюджет будет профицитным. В первую очередь он учитывает финансирование национальных целей. В 2022 году на это направят 3,6 трлн рублей, в 2023 и 2024 годах - 3,9 трлн и 4 трлн рублей соответственно. </w:t>
      </w:r>
      <w:r w:rsidRPr="008D3D6D">
        <w:rPr>
          <w:i/>
        </w:rPr>
        <w:t xml:space="preserve">Известия </w:t>
      </w:r>
    </w:p>
    <w:p w14:paraId="4439762B" w14:textId="6B772723" w:rsidR="00CE289A" w:rsidRDefault="00CE289A" w:rsidP="00C42B92">
      <w:pPr>
        <w:rPr>
          <w:i/>
        </w:rPr>
      </w:pPr>
    </w:p>
    <w:p w14:paraId="128365FD" w14:textId="77777777" w:rsidR="00CE289A" w:rsidRPr="00C350A0" w:rsidRDefault="00CE289A" w:rsidP="00CE289A">
      <w:pPr>
        <w:rPr>
          <w:b/>
          <w:bCs/>
          <w:iCs/>
        </w:rPr>
      </w:pPr>
      <w:r w:rsidRPr="00C350A0">
        <w:rPr>
          <w:b/>
          <w:bCs/>
          <w:iCs/>
        </w:rPr>
        <w:t>ВНЕШНИЕ РИСКИ ДЛЯ ОЦЕНКИ ИНФЛЯЦИИ НА ТЕКУЩИЙ ГОД СОХРАНЯЮТСЯ - РЕШЕТНИКОВ</w:t>
      </w:r>
    </w:p>
    <w:p w14:paraId="55EC647D" w14:textId="77777777" w:rsidR="00CE289A" w:rsidRPr="00C350A0" w:rsidRDefault="00CE289A" w:rsidP="00CE289A">
      <w:pPr>
        <w:rPr>
          <w:iCs/>
        </w:rPr>
      </w:pPr>
      <w:r w:rsidRPr="00C350A0">
        <w:rPr>
          <w:iCs/>
        </w:rPr>
        <w:t xml:space="preserve">Внешние риски для оценки инфляции в РФ в виде возобновившегося роста цен на продовольствие и повышенной мировой инфляции по-прежнему сохраняются, сообщил министр экономического развития России Максим Решетников на заседании правительства. </w:t>
      </w:r>
    </w:p>
    <w:p w14:paraId="68D7F77C" w14:textId="77777777" w:rsidR="00CE289A" w:rsidRPr="00C350A0" w:rsidRDefault="00CE289A" w:rsidP="00CE289A">
      <w:pPr>
        <w:rPr>
          <w:iCs/>
        </w:rPr>
      </w:pPr>
      <w:r w:rsidRPr="00C350A0">
        <w:rPr>
          <w:iCs/>
        </w:rPr>
        <w:t xml:space="preserve">Министр подчеркнул, что текущий прогноз Минэкономразвития по инфляции в 5,8% на конец 2021 года находится немного выше минимального уровня базового сценария Банка России. </w:t>
      </w:r>
    </w:p>
    <w:p w14:paraId="5525498C" w14:textId="2D91875A" w:rsidR="00CE289A" w:rsidRPr="00CE289A" w:rsidRDefault="00CE289A" w:rsidP="00C42B92">
      <w:pPr>
        <w:rPr>
          <w:iCs/>
        </w:rPr>
      </w:pPr>
      <w:r>
        <w:rPr>
          <w:iCs/>
        </w:rPr>
        <w:t>«</w:t>
      </w:r>
      <w:r w:rsidRPr="00C350A0">
        <w:rPr>
          <w:iCs/>
        </w:rPr>
        <w:t xml:space="preserve">Наш прогноз до конца года основан на предпосылках стабильного рубля, продолжения сезонного снижения цен на овощи и фрукты вследствие нормальных оценок урожая со стороны </w:t>
      </w:r>
      <w:r w:rsidRPr="00CE289A">
        <w:rPr>
          <w:b/>
          <w:bCs/>
          <w:iCs/>
        </w:rPr>
        <w:t>Министерства сельского хозяйства</w:t>
      </w:r>
      <w:r w:rsidRPr="00C350A0">
        <w:rPr>
          <w:iCs/>
        </w:rPr>
        <w:t>, стабилизации цен на бензин, а также эффективной работы демпферных механизмов, которые мы в этом году запустили на продовольственных рынках</w:t>
      </w:r>
      <w:r>
        <w:rPr>
          <w:iCs/>
        </w:rPr>
        <w:t>»</w:t>
      </w:r>
      <w:r w:rsidRPr="00C350A0">
        <w:rPr>
          <w:iCs/>
        </w:rPr>
        <w:t xml:space="preserve">, - добавил Решетников. </w:t>
      </w:r>
      <w:r w:rsidRPr="00C350A0">
        <w:rPr>
          <w:i/>
        </w:rPr>
        <w:t>РИА</w:t>
      </w:r>
      <w:r w:rsidRPr="00C350A0">
        <w:rPr>
          <w:iCs/>
        </w:rPr>
        <w:t xml:space="preserve"> </w:t>
      </w:r>
      <w:r w:rsidRPr="00C350A0">
        <w:rPr>
          <w:i/>
        </w:rPr>
        <w:t>Новости</w:t>
      </w:r>
      <w:r w:rsidRPr="00C350A0">
        <w:rPr>
          <w:iCs/>
        </w:rPr>
        <w:t xml:space="preserve"> </w:t>
      </w:r>
    </w:p>
    <w:p w14:paraId="38BD3408" w14:textId="77777777" w:rsidR="00C42B92" w:rsidRPr="00C42B92" w:rsidRDefault="0091585E" w:rsidP="00C42B92">
      <w:pPr>
        <w:pStyle w:val="a9"/>
      </w:pPr>
      <w:hyperlink r:id="rId12" w:history="1">
        <w:r w:rsidR="00C42B92" w:rsidRPr="00C42B92">
          <w:t>Путин разрешил Минэкономразвития иметь своих представителей в 52 странах</w:t>
        </w:r>
      </w:hyperlink>
    </w:p>
    <w:p w14:paraId="4D81F1F2" w14:textId="77777777" w:rsidR="00C42B92" w:rsidRDefault="00C42B92" w:rsidP="00C42B92">
      <w:r>
        <w:t>Минэкономразвития России с 1 октября 2021 года будет иметь собственных представителей в 52 странах. Соответствующий указ, подписанный президентом РФ Владимиром Путиным, опубликован во вторник на портале официальной правовой информации.</w:t>
      </w:r>
    </w:p>
    <w:p w14:paraId="0D2B9EFE" w14:textId="77777777" w:rsidR="00C42B92" w:rsidRPr="008D3D6D" w:rsidRDefault="00C42B92" w:rsidP="00C42B92">
      <w:pPr>
        <w:rPr>
          <w:i/>
        </w:rPr>
      </w:pPr>
      <w:r>
        <w:t xml:space="preserve">Представители МЭР будут осуществлять свои функции в составе российских торгпредств за рубежом, не входя в штат представительств, следует из документа. Указ также предполагает внесение в реестр федеральных должностей гражданской госслужбы должность атташе по экономическим вопросам. </w:t>
      </w:r>
      <w:r w:rsidRPr="008D3D6D">
        <w:rPr>
          <w:i/>
        </w:rPr>
        <w:t>ТАСС</w:t>
      </w:r>
    </w:p>
    <w:bookmarkEnd w:id="11"/>
    <w:p w14:paraId="0A8EEE2F" w14:textId="77777777" w:rsidR="00CE289A" w:rsidRPr="00C42B92" w:rsidRDefault="00CE289A" w:rsidP="00CE289A">
      <w:pPr>
        <w:pStyle w:val="a9"/>
      </w:pPr>
      <w:r>
        <w:fldChar w:fldCharType="begin"/>
      </w:r>
      <w:r>
        <w:instrText xml:space="preserve"> HYPERLINK "https://lenta.ru/news/2021/09/22/mrot/" </w:instrText>
      </w:r>
      <w:r>
        <w:fldChar w:fldCharType="separate"/>
      </w:r>
      <w:r w:rsidRPr="00C42B92">
        <w:t>Россиянам пообещали увеличить МРОТ</w:t>
      </w:r>
      <w:r>
        <w:fldChar w:fldCharType="end"/>
      </w:r>
    </w:p>
    <w:p w14:paraId="28542C76" w14:textId="77777777" w:rsidR="00CE289A" w:rsidRPr="00CE289A" w:rsidRDefault="00CE289A" w:rsidP="00CE289A">
      <w:r>
        <w:t xml:space="preserve">Минимальный размер оплаты труда (МРОТ) с 2022 года увеличится до 13,6 тысяч рублей. Об этом сообщил премьер-министр Михаил Мишустин на видеоконференции с правительством. </w:t>
      </w:r>
      <w:r w:rsidRPr="008D3D6D">
        <w:rPr>
          <w:i/>
        </w:rPr>
        <w:t>Lenta.Ru</w:t>
      </w:r>
    </w:p>
    <w:p w14:paraId="3BAD8332" w14:textId="77777777" w:rsidR="00CE289A" w:rsidRPr="00C350A0" w:rsidRDefault="00CE289A" w:rsidP="00C350A0">
      <w:pPr>
        <w:rPr>
          <w:iCs/>
        </w:rPr>
      </w:pPr>
    </w:p>
    <w:p w14:paraId="653B2855" w14:textId="77777777" w:rsidR="00C8396B" w:rsidRDefault="00C8396B"/>
    <w:p w14:paraId="29873426" w14:textId="77777777" w:rsidR="00C8396B" w:rsidRDefault="00C8396B">
      <w:pPr>
        <w:sectPr w:rsidR="00C8396B">
          <w:headerReference w:type="default" r:id="rId13"/>
          <w:footerReference w:type="default" r:id="rId14"/>
          <w:type w:val="continuous"/>
          <w:pgSz w:w="11906" w:h="16838"/>
          <w:pgMar w:top="1569" w:right="851" w:bottom="1258" w:left="1134" w:header="709" w:footer="501" w:gutter="0"/>
          <w:cols w:num="2" w:space="720" w:equalWidth="0">
            <w:col w:w="4806" w:space="360"/>
            <w:col w:w="4754"/>
          </w:cols>
        </w:sectPr>
      </w:pPr>
    </w:p>
    <w:p w14:paraId="42E86587" w14:textId="77777777" w:rsidR="00D47282" w:rsidRDefault="00D47282" w:rsidP="00D47282">
      <w:pPr>
        <w:spacing w:before="100" w:beforeAutospacing="1" w:after="100" w:afterAutospacing="1"/>
        <w:jc w:val="center"/>
        <w:rPr>
          <w:rFonts w:ascii="Times New Roman" w:hAnsi="Times New Roman"/>
          <w:b/>
          <w:bCs/>
          <w:iCs/>
          <w:sz w:val="28"/>
          <w:szCs w:val="28"/>
        </w:rPr>
      </w:pPr>
      <w:r>
        <w:rPr>
          <w:rFonts w:ascii="Times New Roman" w:hAnsi="Times New Roman"/>
          <w:b/>
          <w:bCs/>
          <w:iCs/>
          <w:sz w:val="28"/>
          <w:szCs w:val="28"/>
        </w:rPr>
        <w:t>МЕДИАСТАТИСТИКА (07:00</w:t>
      </w:r>
      <w:r w:rsidRPr="00671125">
        <w:rPr>
          <w:rFonts w:ascii="Times New Roman" w:hAnsi="Times New Roman"/>
          <w:b/>
          <w:bCs/>
          <w:iCs/>
          <w:sz w:val="28"/>
          <w:szCs w:val="28"/>
        </w:rPr>
        <w:t xml:space="preserve"> </w:t>
      </w:r>
      <w:r>
        <w:rPr>
          <w:rFonts w:ascii="Times New Roman" w:hAnsi="Times New Roman"/>
          <w:b/>
          <w:bCs/>
          <w:iCs/>
          <w:sz w:val="28"/>
          <w:szCs w:val="28"/>
        </w:rPr>
        <w:t>21</w:t>
      </w:r>
      <w:r w:rsidRPr="00671125">
        <w:rPr>
          <w:rFonts w:ascii="Times New Roman" w:hAnsi="Times New Roman"/>
          <w:b/>
          <w:bCs/>
          <w:iCs/>
          <w:sz w:val="28"/>
          <w:szCs w:val="28"/>
        </w:rPr>
        <w:t xml:space="preserve">.09.2021 – 07:00 </w:t>
      </w:r>
      <w:r>
        <w:rPr>
          <w:rFonts w:ascii="Times New Roman" w:hAnsi="Times New Roman"/>
          <w:b/>
          <w:bCs/>
          <w:iCs/>
          <w:sz w:val="28"/>
          <w:szCs w:val="28"/>
        </w:rPr>
        <w:t>22</w:t>
      </w:r>
      <w:r w:rsidRPr="00671125">
        <w:rPr>
          <w:rFonts w:ascii="Times New Roman" w:hAnsi="Times New Roman"/>
          <w:b/>
          <w:bCs/>
          <w:iCs/>
          <w:sz w:val="28"/>
          <w:szCs w:val="28"/>
        </w:rPr>
        <w:t>.09.2021</w:t>
      </w:r>
      <w:r>
        <w:rPr>
          <w:rFonts w:ascii="Times New Roman" w:hAnsi="Times New Roman"/>
          <w:b/>
          <w:bCs/>
          <w:iCs/>
          <w:sz w:val="28"/>
          <w:szCs w:val="28"/>
        </w:rPr>
        <w:t>)</w:t>
      </w:r>
    </w:p>
    <w:p w14:paraId="688BD012" w14:textId="77777777" w:rsidR="00C8396B" w:rsidRDefault="00C8396B">
      <w:pPr>
        <w:ind w:left="720"/>
        <w:rPr>
          <w:rFonts w:ascii="Times New Roman" w:hAnsi="Times New Roman"/>
          <w:b/>
          <w:bCs/>
          <w:iCs/>
          <w:sz w:val="28"/>
          <w:szCs w:val="28"/>
        </w:rPr>
      </w:pPr>
    </w:p>
    <w:p w14:paraId="56BA2F2F" w14:textId="77777777"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Количество публикаций</w:t>
      </w:r>
    </w:p>
    <w:p w14:paraId="3FB10673" w14:textId="77777777" w:rsidR="00C8396B" w:rsidRDefault="00C8396B">
      <w:pPr>
        <w:ind w:left="720"/>
        <w:rPr>
          <w:rFonts w:ascii="Times New Roman" w:hAnsi="Times New Roman"/>
          <w:bCs/>
          <w:iCs/>
          <w:sz w:val="28"/>
          <w:szCs w:val="28"/>
        </w:rPr>
      </w:pPr>
    </w:p>
    <w:p w14:paraId="05514498" w14:textId="77777777" w:rsidR="00C8396B" w:rsidRDefault="00F62502">
      <w:pPr>
        <w:ind w:left="720"/>
        <w:rPr>
          <w:rFonts w:ascii="Times New Roman" w:hAnsi="Times New Roman"/>
          <w:bCs/>
          <w:iCs/>
          <w:sz w:val="28"/>
          <w:szCs w:val="28"/>
        </w:rPr>
      </w:pPr>
      <w:r>
        <w:rPr>
          <w:rFonts w:ascii="Times New Roman" w:hAnsi="Times New Roman"/>
          <w:bCs/>
          <w:iCs/>
          <w:sz w:val="28"/>
          <w:szCs w:val="28"/>
        </w:rPr>
        <w:t xml:space="preserve">За отчетный период всего в федеральных и региональных СМИ </w:t>
      </w:r>
      <w:r>
        <w:rPr>
          <w:rFonts w:ascii="Times New Roman" w:hAnsi="Times New Roman"/>
          <w:bCs/>
          <w:iCs/>
          <w:sz w:val="28"/>
          <w:szCs w:val="28"/>
        </w:rPr>
        <w:br/>
        <w:t xml:space="preserve">выпущено </w:t>
      </w:r>
      <w:r w:rsidR="007D36C4">
        <w:rPr>
          <w:rFonts w:ascii="Times New Roman" w:hAnsi="Times New Roman"/>
          <w:b/>
          <w:bCs/>
          <w:iCs/>
          <w:sz w:val="28"/>
          <w:szCs w:val="28"/>
        </w:rPr>
        <w:t>501</w:t>
      </w:r>
      <w:r>
        <w:rPr>
          <w:rFonts w:ascii="Times New Roman" w:hAnsi="Times New Roman"/>
          <w:b/>
          <w:bCs/>
          <w:iCs/>
          <w:sz w:val="28"/>
          <w:szCs w:val="28"/>
        </w:rPr>
        <w:t xml:space="preserve"> </w:t>
      </w:r>
      <w:r>
        <w:rPr>
          <w:rFonts w:ascii="Times New Roman" w:hAnsi="Times New Roman"/>
          <w:bCs/>
          <w:iCs/>
          <w:sz w:val="28"/>
          <w:szCs w:val="28"/>
        </w:rPr>
        <w:t>сообщени</w:t>
      </w:r>
      <w:r w:rsidR="003678F0">
        <w:rPr>
          <w:rFonts w:ascii="Times New Roman" w:hAnsi="Times New Roman"/>
          <w:bCs/>
          <w:iCs/>
          <w:sz w:val="28"/>
          <w:szCs w:val="28"/>
        </w:rPr>
        <w:t>е</w:t>
      </w:r>
      <w:r>
        <w:rPr>
          <w:rFonts w:ascii="Times New Roman" w:hAnsi="Times New Roman"/>
          <w:bCs/>
          <w:iCs/>
          <w:sz w:val="28"/>
          <w:szCs w:val="28"/>
        </w:rPr>
        <w:t xml:space="preserve"> с упоминанием </w:t>
      </w:r>
      <w:r w:rsidR="0003491F">
        <w:rPr>
          <w:rFonts w:ascii="Times New Roman" w:hAnsi="Times New Roman"/>
          <w:bCs/>
          <w:iCs/>
          <w:sz w:val="28"/>
          <w:szCs w:val="28"/>
        </w:rPr>
        <w:t>Минсельхоз</w:t>
      </w:r>
      <w:r w:rsidR="00BC4068">
        <w:rPr>
          <w:rFonts w:ascii="Times New Roman" w:hAnsi="Times New Roman"/>
          <w:bCs/>
          <w:iCs/>
          <w:sz w:val="28"/>
          <w:szCs w:val="28"/>
        </w:rPr>
        <w:t>а</w:t>
      </w:r>
      <w:r>
        <w:rPr>
          <w:rFonts w:ascii="Times New Roman" w:hAnsi="Times New Roman"/>
          <w:bCs/>
          <w:iCs/>
          <w:sz w:val="28"/>
          <w:szCs w:val="28"/>
        </w:rPr>
        <w:t xml:space="preserve"> России.</w:t>
      </w:r>
    </w:p>
    <w:p w14:paraId="19C13464" w14:textId="77777777" w:rsidR="00C8396B" w:rsidRDefault="00C8396B">
      <w:pPr>
        <w:ind w:left="720"/>
        <w:rPr>
          <w:rFonts w:ascii="Times New Roman" w:hAnsi="Times New Roman"/>
          <w:bCs/>
          <w:iCs/>
          <w:sz w:val="28"/>
          <w:szCs w:val="28"/>
        </w:rPr>
      </w:pPr>
    </w:p>
    <w:p w14:paraId="2403AA82" w14:textId="77777777" w:rsidR="00C8396B" w:rsidRDefault="00C8396B">
      <w:pPr>
        <w:ind w:left="720"/>
        <w:rPr>
          <w:rFonts w:ascii="Times New Roman" w:hAnsi="Times New Roman"/>
          <w:bCs/>
          <w:iCs/>
          <w:sz w:val="28"/>
          <w:szCs w:val="28"/>
        </w:rPr>
      </w:pPr>
    </w:p>
    <w:p w14:paraId="3BB11053" w14:textId="77777777"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Тональность публикаций</w:t>
      </w:r>
    </w:p>
    <w:p w14:paraId="12CC047D" w14:textId="77777777" w:rsidR="00C8396B" w:rsidRDefault="00C8396B">
      <w:pPr>
        <w:ind w:left="720"/>
        <w:rPr>
          <w:rFonts w:ascii="Times New Roman" w:hAnsi="Times New Roman"/>
          <w:bCs/>
          <w:iCs/>
          <w:sz w:val="28"/>
          <w:szCs w:val="28"/>
        </w:rPr>
      </w:pPr>
    </w:p>
    <w:p w14:paraId="37D4FC10" w14:textId="77777777" w:rsidR="00C8396B" w:rsidRDefault="00F62502">
      <w:pPr>
        <w:numPr>
          <w:ilvl w:val="0"/>
          <w:numId w:val="2"/>
        </w:numPr>
        <w:ind w:left="1134" w:hanging="425"/>
        <w:rPr>
          <w:rFonts w:ascii="Times New Roman" w:hAnsi="Times New Roman"/>
          <w:bCs/>
          <w:iCs/>
          <w:sz w:val="28"/>
          <w:szCs w:val="28"/>
        </w:rPr>
      </w:pPr>
      <w:r>
        <w:rPr>
          <w:rFonts w:ascii="Times New Roman" w:hAnsi="Times New Roman"/>
          <w:bCs/>
          <w:iCs/>
          <w:sz w:val="28"/>
          <w:szCs w:val="28"/>
        </w:rPr>
        <w:t xml:space="preserve">Все публикации носят </w:t>
      </w:r>
      <w:r>
        <w:rPr>
          <w:rFonts w:ascii="Times New Roman" w:hAnsi="Times New Roman"/>
          <w:b/>
          <w:bCs/>
          <w:iCs/>
          <w:sz w:val="28"/>
          <w:szCs w:val="28"/>
        </w:rPr>
        <w:t>позитивный</w:t>
      </w:r>
      <w:r>
        <w:rPr>
          <w:rFonts w:ascii="Times New Roman" w:hAnsi="Times New Roman"/>
          <w:bCs/>
          <w:iCs/>
          <w:sz w:val="28"/>
          <w:szCs w:val="28"/>
        </w:rPr>
        <w:t xml:space="preserve"> и </w:t>
      </w:r>
      <w:r>
        <w:rPr>
          <w:rFonts w:ascii="Times New Roman" w:hAnsi="Times New Roman"/>
          <w:b/>
          <w:bCs/>
          <w:iCs/>
          <w:sz w:val="28"/>
          <w:szCs w:val="28"/>
        </w:rPr>
        <w:t>нейтральный</w:t>
      </w:r>
      <w:r>
        <w:rPr>
          <w:rFonts w:ascii="Times New Roman" w:hAnsi="Times New Roman"/>
          <w:bCs/>
          <w:iCs/>
          <w:sz w:val="28"/>
          <w:szCs w:val="28"/>
        </w:rPr>
        <w:t xml:space="preserve"> характер. </w:t>
      </w:r>
    </w:p>
    <w:p w14:paraId="00D6C4B0" w14:textId="77777777" w:rsidR="00C8396B" w:rsidRDefault="00F62502">
      <w:pPr>
        <w:numPr>
          <w:ilvl w:val="0"/>
          <w:numId w:val="2"/>
        </w:numPr>
        <w:ind w:left="1134" w:hanging="425"/>
        <w:rPr>
          <w:rFonts w:ascii="Times New Roman" w:hAnsi="Times New Roman"/>
          <w:bCs/>
          <w:iCs/>
          <w:sz w:val="28"/>
          <w:szCs w:val="28"/>
        </w:rPr>
      </w:pPr>
      <w:r>
        <w:rPr>
          <w:rFonts w:ascii="Times New Roman" w:hAnsi="Times New Roman"/>
          <w:b/>
          <w:bCs/>
          <w:iCs/>
          <w:sz w:val="28"/>
          <w:szCs w:val="28"/>
        </w:rPr>
        <w:t>Негативных</w:t>
      </w:r>
      <w:r>
        <w:rPr>
          <w:rFonts w:ascii="Times New Roman" w:hAnsi="Times New Roman"/>
          <w:bCs/>
          <w:iCs/>
          <w:sz w:val="28"/>
          <w:szCs w:val="28"/>
        </w:rPr>
        <w:t xml:space="preserve"> сообщений </w:t>
      </w:r>
      <w:r>
        <w:rPr>
          <w:rFonts w:ascii="Times New Roman" w:hAnsi="Times New Roman"/>
          <w:b/>
          <w:bCs/>
          <w:iCs/>
          <w:sz w:val="28"/>
          <w:szCs w:val="28"/>
        </w:rPr>
        <w:t>не зафиксировано</w:t>
      </w:r>
      <w:r>
        <w:rPr>
          <w:rFonts w:ascii="Times New Roman" w:hAnsi="Times New Roman"/>
          <w:bCs/>
          <w:iCs/>
          <w:sz w:val="28"/>
          <w:szCs w:val="28"/>
        </w:rPr>
        <w:t>.</w:t>
      </w:r>
    </w:p>
    <w:p w14:paraId="4A44435E" w14:textId="77777777" w:rsidR="00C8396B" w:rsidRDefault="00C8396B">
      <w:pPr>
        <w:pStyle w:val="ab"/>
        <w:rPr>
          <w:rFonts w:ascii="Times New Roman" w:hAnsi="Times New Roman"/>
          <w:bCs/>
          <w:iCs/>
          <w:sz w:val="28"/>
          <w:szCs w:val="28"/>
        </w:rPr>
      </w:pPr>
    </w:p>
    <w:p w14:paraId="37D9462A" w14:textId="77777777" w:rsidR="00C8396B" w:rsidRDefault="00C8396B">
      <w:pPr>
        <w:pStyle w:val="ab"/>
        <w:rPr>
          <w:rFonts w:ascii="Times New Roman" w:hAnsi="Times New Roman"/>
          <w:bCs/>
          <w:iCs/>
          <w:sz w:val="28"/>
          <w:szCs w:val="28"/>
        </w:rPr>
      </w:pPr>
    </w:p>
    <w:p w14:paraId="25659678" w14:textId="77777777"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Уровень СМИ</w:t>
      </w:r>
    </w:p>
    <w:p w14:paraId="454A51EF" w14:textId="77777777" w:rsidR="00C8396B" w:rsidRDefault="00C8396B">
      <w:pPr>
        <w:ind w:left="720"/>
        <w:rPr>
          <w:rFonts w:ascii="Times New Roman" w:hAnsi="Times New Roman"/>
          <w:b/>
          <w:bCs/>
          <w:iCs/>
          <w:sz w:val="28"/>
          <w:szCs w:val="28"/>
        </w:rPr>
      </w:pPr>
    </w:p>
    <w:p w14:paraId="4F361D95" w14:textId="77777777" w:rsidR="00C8396B" w:rsidRDefault="00F62502">
      <w:pPr>
        <w:numPr>
          <w:ilvl w:val="0"/>
          <w:numId w:val="2"/>
        </w:numPr>
        <w:ind w:left="1134" w:hanging="425"/>
        <w:rPr>
          <w:rFonts w:ascii="Times New Roman" w:hAnsi="Times New Roman"/>
          <w:bCs/>
          <w:iCs/>
          <w:sz w:val="28"/>
          <w:szCs w:val="28"/>
        </w:rPr>
      </w:pPr>
      <w:r>
        <w:rPr>
          <w:rFonts w:ascii="Times New Roman" w:hAnsi="Times New Roman"/>
          <w:b/>
          <w:bCs/>
          <w:iCs/>
          <w:sz w:val="28"/>
          <w:szCs w:val="28"/>
        </w:rPr>
        <w:t>Федеральные</w:t>
      </w:r>
      <w:r>
        <w:rPr>
          <w:rFonts w:ascii="Times New Roman" w:hAnsi="Times New Roman"/>
          <w:bCs/>
          <w:iCs/>
          <w:sz w:val="28"/>
          <w:szCs w:val="28"/>
        </w:rPr>
        <w:t xml:space="preserve"> СМИ – </w:t>
      </w:r>
      <w:r w:rsidR="007D36C4">
        <w:rPr>
          <w:rFonts w:ascii="Times New Roman" w:hAnsi="Times New Roman"/>
          <w:b/>
          <w:bCs/>
          <w:iCs/>
          <w:sz w:val="28"/>
          <w:szCs w:val="28"/>
        </w:rPr>
        <w:t>237</w:t>
      </w:r>
      <w:r>
        <w:rPr>
          <w:rFonts w:ascii="Times New Roman" w:hAnsi="Times New Roman"/>
          <w:b/>
          <w:bCs/>
          <w:iCs/>
          <w:sz w:val="28"/>
          <w:szCs w:val="28"/>
          <w:lang w:val="en-US"/>
        </w:rPr>
        <w:t xml:space="preserve"> </w:t>
      </w:r>
      <w:r>
        <w:rPr>
          <w:rFonts w:ascii="Times New Roman" w:hAnsi="Times New Roman"/>
          <w:bCs/>
          <w:iCs/>
          <w:sz w:val="28"/>
          <w:szCs w:val="28"/>
        </w:rPr>
        <w:t>сообщени</w:t>
      </w:r>
      <w:r w:rsidR="003678F0">
        <w:rPr>
          <w:rFonts w:ascii="Times New Roman" w:hAnsi="Times New Roman"/>
          <w:bCs/>
          <w:iCs/>
          <w:sz w:val="28"/>
          <w:szCs w:val="28"/>
        </w:rPr>
        <w:t>й</w:t>
      </w:r>
      <w:r>
        <w:rPr>
          <w:rFonts w:ascii="Times New Roman" w:hAnsi="Times New Roman"/>
          <w:bCs/>
          <w:iCs/>
          <w:sz w:val="28"/>
          <w:szCs w:val="28"/>
        </w:rPr>
        <w:t>.</w:t>
      </w:r>
    </w:p>
    <w:p w14:paraId="6A19BC36" w14:textId="77777777" w:rsidR="00C8396B" w:rsidRDefault="00F62502">
      <w:pPr>
        <w:numPr>
          <w:ilvl w:val="0"/>
          <w:numId w:val="2"/>
        </w:numPr>
        <w:ind w:left="1134" w:hanging="425"/>
        <w:rPr>
          <w:rFonts w:ascii="Times New Roman" w:hAnsi="Times New Roman"/>
          <w:bCs/>
          <w:iCs/>
          <w:sz w:val="28"/>
          <w:szCs w:val="28"/>
        </w:rPr>
      </w:pPr>
      <w:r>
        <w:rPr>
          <w:rFonts w:ascii="Times New Roman" w:hAnsi="Times New Roman"/>
          <w:b/>
          <w:bCs/>
          <w:iCs/>
          <w:sz w:val="28"/>
          <w:szCs w:val="28"/>
        </w:rPr>
        <w:t>Региональные</w:t>
      </w:r>
      <w:r>
        <w:rPr>
          <w:rFonts w:ascii="Times New Roman" w:hAnsi="Times New Roman"/>
          <w:bCs/>
          <w:iCs/>
          <w:sz w:val="28"/>
          <w:szCs w:val="28"/>
        </w:rPr>
        <w:t xml:space="preserve"> СМИ – </w:t>
      </w:r>
      <w:r w:rsidR="007D36C4">
        <w:rPr>
          <w:rFonts w:ascii="Times New Roman" w:hAnsi="Times New Roman"/>
          <w:b/>
          <w:bCs/>
          <w:iCs/>
          <w:sz w:val="28"/>
          <w:szCs w:val="28"/>
        </w:rPr>
        <w:t>264</w:t>
      </w:r>
      <w:r>
        <w:rPr>
          <w:rFonts w:ascii="Times New Roman" w:hAnsi="Times New Roman"/>
          <w:bCs/>
          <w:iCs/>
          <w:sz w:val="28"/>
          <w:szCs w:val="28"/>
        </w:rPr>
        <w:t xml:space="preserve"> сообщения.</w:t>
      </w:r>
    </w:p>
    <w:p w14:paraId="785650B6" w14:textId="77777777" w:rsidR="00C8396B" w:rsidRDefault="00C8396B">
      <w:pPr>
        <w:rPr>
          <w:rFonts w:ascii="Times New Roman" w:hAnsi="Times New Roman"/>
          <w:bCs/>
          <w:iCs/>
          <w:sz w:val="28"/>
          <w:szCs w:val="28"/>
        </w:rPr>
      </w:pPr>
    </w:p>
    <w:p w14:paraId="226341F1" w14:textId="77777777" w:rsidR="00C8396B" w:rsidRDefault="00C8396B">
      <w:pPr>
        <w:rPr>
          <w:rFonts w:ascii="Times New Roman" w:hAnsi="Times New Roman"/>
          <w:bCs/>
          <w:iCs/>
          <w:sz w:val="28"/>
          <w:szCs w:val="28"/>
        </w:rPr>
      </w:pPr>
    </w:p>
    <w:p w14:paraId="54E57CB6" w14:textId="77777777"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Роль министерства в публикациях</w:t>
      </w:r>
    </w:p>
    <w:p w14:paraId="02EE3ADF" w14:textId="77777777" w:rsidR="00C8396B" w:rsidRDefault="00C8396B">
      <w:pPr>
        <w:ind w:left="720"/>
        <w:rPr>
          <w:rFonts w:ascii="Times New Roman" w:hAnsi="Times New Roman"/>
          <w:bCs/>
          <w:iCs/>
          <w:sz w:val="28"/>
          <w:szCs w:val="28"/>
        </w:rPr>
      </w:pPr>
    </w:p>
    <w:p w14:paraId="08552DF2" w14:textId="6426C1C3" w:rsidR="00C8396B" w:rsidRDefault="00F62502">
      <w:pPr>
        <w:ind w:left="720"/>
        <w:rPr>
          <w:rFonts w:ascii="Times New Roman" w:hAnsi="Times New Roman"/>
          <w:bCs/>
          <w:iCs/>
          <w:sz w:val="28"/>
          <w:szCs w:val="28"/>
        </w:rPr>
      </w:pPr>
      <w:r>
        <w:rPr>
          <w:rFonts w:ascii="Times New Roman" w:hAnsi="Times New Roman"/>
          <w:bCs/>
          <w:iCs/>
          <w:sz w:val="28"/>
          <w:szCs w:val="28"/>
        </w:rPr>
        <w:t xml:space="preserve">Главная роль – </w:t>
      </w:r>
      <w:r w:rsidR="007D36C4">
        <w:rPr>
          <w:rFonts w:ascii="Times New Roman" w:hAnsi="Times New Roman"/>
          <w:b/>
          <w:bCs/>
          <w:iCs/>
          <w:sz w:val="28"/>
          <w:szCs w:val="28"/>
        </w:rPr>
        <w:t>1</w:t>
      </w:r>
      <w:r w:rsidR="00CE289A">
        <w:rPr>
          <w:rFonts w:ascii="Times New Roman" w:hAnsi="Times New Roman"/>
          <w:b/>
          <w:bCs/>
          <w:iCs/>
          <w:sz w:val="28"/>
          <w:szCs w:val="28"/>
        </w:rPr>
        <w:t>71</w:t>
      </w:r>
      <w:r>
        <w:rPr>
          <w:rFonts w:ascii="Times New Roman" w:hAnsi="Times New Roman"/>
          <w:b/>
          <w:bCs/>
          <w:iCs/>
          <w:sz w:val="28"/>
          <w:szCs w:val="28"/>
        </w:rPr>
        <w:t xml:space="preserve"> </w:t>
      </w:r>
      <w:r>
        <w:rPr>
          <w:rFonts w:ascii="Times New Roman" w:hAnsi="Times New Roman"/>
          <w:bCs/>
          <w:iCs/>
          <w:sz w:val="28"/>
          <w:szCs w:val="28"/>
        </w:rPr>
        <w:t>сообщени</w:t>
      </w:r>
      <w:r w:rsidR="003678F0">
        <w:rPr>
          <w:rFonts w:ascii="Times New Roman" w:hAnsi="Times New Roman"/>
          <w:bCs/>
          <w:iCs/>
          <w:sz w:val="28"/>
          <w:szCs w:val="28"/>
        </w:rPr>
        <w:t>е</w:t>
      </w:r>
      <w:r>
        <w:rPr>
          <w:rFonts w:ascii="Times New Roman" w:hAnsi="Times New Roman"/>
          <w:bCs/>
          <w:iCs/>
          <w:sz w:val="28"/>
          <w:szCs w:val="28"/>
        </w:rPr>
        <w:t>.</w:t>
      </w:r>
    </w:p>
    <w:p w14:paraId="46D0417B" w14:textId="77777777" w:rsidR="00C8396B" w:rsidRDefault="00C8396B">
      <w:pPr>
        <w:ind w:left="720"/>
        <w:rPr>
          <w:rFonts w:ascii="Times New Roman" w:hAnsi="Times New Roman"/>
          <w:bCs/>
          <w:iCs/>
          <w:sz w:val="28"/>
          <w:szCs w:val="28"/>
        </w:rPr>
      </w:pPr>
    </w:p>
    <w:p w14:paraId="3E6CEEBB" w14:textId="77777777" w:rsidR="00D47282" w:rsidRDefault="00D47282" w:rsidP="00D47282">
      <w:pPr>
        <w:ind w:firstLine="426"/>
        <w:rPr>
          <w:rFonts w:ascii="Times New Roman" w:hAnsi="Times New Roman"/>
          <w:b/>
          <w:bCs/>
          <w:iCs/>
          <w:sz w:val="28"/>
          <w:szCs w:val="28"/>
        </w:rPr>
      </w:pPr>
      <w:r>
        <w:rPr>
          <w:rFonts w:ascii="Times New Roman" w:hAnsi="Times New Roman"/>
          <w:b/>
          <w:bCs/>
          <w:iCs/>
          <w:sz w:val="28"/>
          <w:szCs w:val="28"/>
        </w:rPr>
        <w:t>ДИНАМИКА ПУБЛИКАЦИЙ ЗА МЕСЯЦ (2</w:t>
      </w:r>
      <w:r w:rsidR="00AB047B">
        <w:rPr>
          <w:rFonts w:ascii="Times New Roman" w:hAnsi="Times New Roman"/>
          <w:b/>
          <w:bCs/>
          <w:iCs/>
          <w:sz w:val="28"/>
          <w:szCs w:val="28"/>
        </w:rPr>
        <w:t>2</w:t>
      </w:r>
      <w:r>
        <w:rPr>
          <w:rFonts w:ascii="Times New Roman" w:hAnsi="Times New Roman"/>
          <w:b/>
          <w:bCs/>
          <w:iCs/>
          <w:sz w:val="28"/>
          <w:szCs w:val="28"/>
        </w:rPr>
        <w:t>.08.2021 – 22.09.2021)</w:t>
      </w:r>
    </w:p>
    <w:p w14:paraId="740F4B6E" w14:textId="77777777" w:rsidR="00C8396B" w:rsidRDefault="00C8396B">
      <w:pPr>
        <w:ind w:firstLine="426"/>
        <w:rPr>
          <w:rFonts w:ascii="Times New Roman" w:hAnsi="Times New Roman"/>
          <w:b/>
          <w:bCs/>
          <w:iCs/>
          <w:sz w:val="28"/>
          <w:szCs w:val="28"/>
        </w:rPr>
      </w:pPr>
    </w:p>
    <w:p w14:paraId="09CDB074" w14:textId="77777777" w:rsidR="00C8396B" w:rsidRDefault="00F62502">
      <w:pPr>
        <w:ind w:firstLine="426"/>
      </w:pPr>
      <w:r>
        <w:rPr>
          <w:rFonts w:ascii="Times New Roman" w:hAnsi="Times New Roman"/>
          <w:b/>
          <w:noProof/>
          <w:sz w:val="28"/>
          <w:szCs w:val="28"/>
        </w:rPr>
        <w:drawing>
          <wp:inline distT="0" distB="0" distL="0" distR="0" wp14:anchorId="32F6FE6D" wp14:editId="488B5C7C">
            <wp:extent cx="5667375" cy="283845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sectPr w:rsidR="00C8396B" w:rsidSect="005F3758">
      <w:pgSz w:w="11906" w:h="16838"/>
      <w:pgMar w:top="1569" w:right="851" w:bottom="1258" w:left="1134" w:header="709" w:footer="501" w:gutter="0"/>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8F9C1" w14:textId="77777777" w:rsidR="00F83AB1" w:rsidRDefault="00F83AB1">
      <w:r>
        <w:separator/>
      </w:r>
    </w:p>
  </w:endnote>
  <w:endnote w:type="continuationSeparator" w:id="0">
    <w:p w14:paraId="5909E10F" w14:textId="77777777" w:rsidR="00F83AB1" w:rsidRDefault="00F8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shd w:val="clear" w:color="auto" w:fill="E6E7EA"/>
      <w:tblLook w:val="01E0" w:firstRow="1" w:lastRow="1" w:firstColumn="1" w:lastColumn="1" w:noHBand="0" w:noVBand="0"/>
    </w:tblPr>
    <w:tblGrid>
      <w:gridCol w:w="9436"/>
      <w:gridCol w:w="485"/>
    </w:tblGrid>
    <w:tr w:rsidR="00C8396B" w14:paraId="063D6A0B" w14:textId="77777777">
      <w:tc>
        <w:tcPr>
          <w:tcW w:w="9648" w:type="dxa"/>
          <w:shd w:val="clear" w:color="auto" w:fill="E6E7EA"/>
          <w:vAlign w:val="center"/>
        </w:tcPr>
        <w:p w14:paraId="421ACE50" w14:textId="77777777" w:rsidR="00C8396B" w:rsidRDefault="00F62502" w:rsidP="00BF48EC">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D47282">
            <w:rPr>
              <w:rFonts w:cs="Arial"/>
              <w:color w:val="90989E"/>
              <w:sz w:val="16"/>
              <w:szCs w:val="16"/>
            </w:rPr>
            <w:t>22 сентября 2021 утро</w:t>
          </w:r>
          <w:r>
            <w:rPr>
              <w:rFonts w:cs="Arial"/>
              <w:color w:val="90989E"/>
              <w:sz w:val="16"/>
              <w:szCs w:val="16"/>
            </w:rPr>
            <w:t>]</w:t>
          </w:r>
        </w:p>
      </w:tc>
      <w:tc>
        <w:tcPr>
          <w:tcW w:w="489" w:type="dxa"/>
          <w:shd w:val="clear" w:color="auto" w:fill="90989E"/>
          <w:vAlign w:val="center"/>
        </w:tcPr>
        <w:p w14:paraId="1969ADCE"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E9724E">
            <w:rPr>
              <w:rStyle w:val="a7"/>
              <w:rFonts w:cs="Arial"/>
              <w:b/>
              <w:noProof/>
              <w:color w:val="FFFFFF"/>
              <w:szCs w:val="18"/>
            </w:rPr>
            <w:t>3</w:t>
          </w:r>
          <w:r>
            <w:rPr>
              <w:rStyle w:val="a7"/>
              <w:rFonts w:cs="Arial"/>
              <w:b/>
              <w:color w:val="FFFFFF"/>
              <w:szCs w:val="18"/>
            </w:rPr>
            <w:fldChar w:fldCharType="end"/>
          </w:r>
        </w:p>
      </w:tc>
    </w:tr>
  </w:tbl>
  <w:p w14:paraId="7D19CFEE" w14:textId="77777777"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shd w:val="clear" w:color="auto" w:fill="E6E7EA"/>
      <w:tblLook w:val="01E0" w:firstRow="1" w:lastRow="1" w:firstColumn="1" w:lastColumn="1" w:noHBand="0" w:noVBand="0"/>
    </w:tblPr>
    <w:tblGrid>
      <w:gridCol w:w="9436"/>
      <w:gridCol w:w="485"/>
    </w:tblGrid>
    <w:tr w:rsidR="00C8396B" w14:paraId="45EC6C66" w14:textId="77777777">
      <w:tc>
        <w:tcPr>
          <w:tcW w:w="9648" w:type="dxa"/>
          <w:shd w:val="clear" w:color="auto" w:fill="E6E7EA"/>
          <w:vAlign w:val="center"/>
        </w:tcPr>
        <w:p w14:paraId="299A030F" w14:textId="77777777" w:rsidR="00C8396B" w:rsidRDefault="00F62502" w:rsidP="00D47282">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D47282">
            <w:rPr>
              <w:rFonts w:cs="Arial"/>
              <w:color w:val="90989E"/>
              <w:sz w:val="16"/>
              <w:szCs w:val="16"/>
            </w:rPr>
            <w:t>22 сентября</w:t>
          </w:r>
          <w:r w:rsidR="00C87324">
            <w:rPr>
              <w:rFonts w:cs="Arial"/>
              <w:color w:val="90989E"/>
              <w:sz w:val="16"/>
              <w:szCs w:val="16"/>
            </w:rPr>
            <w:t xml:space="preserve"> </w:t>
          </w:r>
          <w:r w:rsidR="00FC7700">
            <w:rPr>
              <w:rFonts w:cs="Arial"/>
              <w:color w:val="90989E"/>
              <w:sz w:val="16"/>
              <w:szCs w:val="16"/>
            </w:rPr>
            <w:t xml:space="preserve">2021 </w:t>
          </w:r>
          <w:r w:rsidR="00D47282">
            <w:rPr>
              <w:rFonts w:cs="Arial"/>
              <w:color w:val="90989E"/>
              <w:sz w:val="16"/>
              <w:szCs w:val="16"/>
            </w:rPr>
            <w:t>утро</w:t>
          </w:r>
          <w:r>
            <w:rPr>
              <w:rFonts w:cs="Arial"/>
              <w:color w:val="90989E"/>
              <w:sz w:val="16"/>
              <w:szCs w:val="16"/>
            </w:rPr>
            <w:t>]</w:t>
          </w:r>
        </w:p>
      </w:tc>
      <w:tc>
        <w:tcPr>
          <w:tcW w:w="489" w:type="dxa"/>
          <w:shd w:val="clear" w:color="auto" w:fill="90989E"/>
          <w:vAlign w:val="center"/>
        </w:tcPr>
        <w:p w14:paraId="14741F96"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E9724E">
            <w:rPr>
              <w:rStyle w:val="a7"/>
              <w:rFonts w:cs="Arial"/>
              <w:b/>
              <w:noProof/>
              <w:color w:val="FFFFFF"/>
              <w:szCs w:val="18"/>
            </w:rPr>
            <w:t>4</w:t>
          </w:r>
          <w:r>
            <w:rPr>
              <w:rStyle w:val="a7"/>
              <w:rFonts w:cs="Arial"/>
              <w:b/>
              <w:color w:val="FFFFFF"/>
              <w:szCs w:val="18"/>
            </w:rPr>
            <w:fldChar w:fldCharType="end"/>
          </w:r>
        </w:p>
      </w:tc>
    </w:tr>
  </w:tbl>
  <w:p w14:paraId="1A0753A8" w14:textId="77777777"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DFE1B" w14:textId="77777777" w:rsidR="00F83AB1" w:rsidRDefault="00F83AB1">
      <w:r>
        <w:separator/>
      </w:r>
    </w:p>
  </w:footnote>
  <w:footnote w:type="continuationSeparator" w:id="0">
    <w:p w14:paraId="769CD8BC" w14:textId="77777777" w:rsidR="00F83AB1" w:rsidRDefault="00F83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E0CA" w14:textId="77777777"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1E7CFFA9" wp14:editId="3C68B94E">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C42B92">
      <w:rPr>
        <w:noProof/>
        <w:sz w:val="28"/>
      </w:rPr>
      <mc:AlternateContent>
        <mc:Choice Requires="wps">
          <w:drawing>
            <wp:anchor distT="0" distB="0" distL="114300" distR="114300" simplePos="0" relativeHeight="251662336" behindDoc="0" locked="0" layoutInCell="1" allowOverlap="1" wp14:anchorId="1899C70C" wp14:editId="5E75C570">
              <wp:simplePos x="0" y="0"/>
              <wp:positionH relativeFrom="column">
                <wp:posOffset>-59690</wp:posOffset>
              </wp:positionH>
              <wp:positionV relativeFrom="paragraph">
                <wp:posOffset>13970</wp:posOffset>
              </wp:positionV>
              <wp:extent cx="10795" cy="482600"/>
              <wp:effectExtent l="0" t="0" r="8255" b="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3D0FFD"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14:paraId="5BD1849E" w14:textId="77777777" w:rsidR="00C8396B" w:rsidRDefault="00F62502"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14:paraId="0FD97612" w14:textId="77777777" w:rsidR="00C8396B" w:rsidRDefault="00C8396B">
    <w:pPr>
      <w:pStyle w:val="a3"/>
      <w:rPr>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80B7" w14:textId="77777777"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67244EB9" wp14:editId="76ED04C4">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C42B92">
      <w:rPr>
        <w:noProof/>
        <w:sz w:val="28"/>
      </w:rPr>
      <mc:AlternateContent>
        <mc:Choice Requires="wps">
          <w:drawing>
            <wp:anchor distT="0" distB="0" distL="114300" distR="114300" simplePos="0" relativeHeight="251665408" behindDoc="0" locked="0" layoutInCell="1" allowOverlap="1" wp14:anchorId="7DDCD32D" wp14:editId="1B9E6ED8">
              <wp:simplePos x="0" y="0"/>
              <wp:positionH relativeFrom="column">
                <wp:posOffset>-59690</wp:posOffset>
              </wp:positionH>
              <wp:positionV relativeFrom="paragraph">
                <wp:posOffset>13970</wp:posOffset>
              </wp:positionV>
              <wp:extent cx="10795" cy="482600"/>
              <wp:effectExtent l="0" t="0" r="8255" b="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BEA89B"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0FF7CDBE" w14:textId="77777777"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309C9CCF" w14:textId="77777777" w:rsidR="00C8396B" w:rsidRDefault="00C8396B">
    <w:pPr>
      <w:pStyle w:val="a3"/>
      <w:rPr>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B92"/>
    <w:rsid w:val="00001659"/>
    <w:rsid w:val="0003491F"/>
    <w:rsid w:val="00066C93"/>
    <w:rsid w:val="000F6FDF"/>
    <w:rsid w:val="0018006A"/>
    <w:rsid w:val="00195925"/>
    <w:rsid w:val="00204209"/>
    <w:rsid w:val="002436D2"/>
    <w:rsid w:val="00246E9E"/>
    <w:rsid w:val="00270257"/>
    <w:rsid w:val="002E5101"/>
    <w:rsid w:val="00304904"/>
    <w:rsid w:val="003058E2"/>
    <w:rsid w:val="00331C34"/>
    <w:rsid w:val="003558EE"/>
    <w:rsid w:val="003678F0"/>
    <w:rsid w:val="003C3C67"/>
    <w:rsid w:val="003D223E"/>
    <w:rsid w:val="004212AB"/>
    <w:rsid w:val="004252DF"/>
    <w:rsid w:val="004304C8"/>
    <w:rsid w:val="0051157E"/>
    <w:rsid w:val="005233A0"/>
    <w:rsid w:val="005240C2"/>
    <w:rsid w:val="005F3758"/>
    <w:rsid w:val="005F5908"/>
    <w:rsid w:val="00604F1E"/>
    <w:rsid w:val="006110BE"/>
    <w:rsid w:val="00640F09"/>
    <w:rsid w:val="006E64AC"/>
    <w:rsid w:val="0074571A"/>
    <w:rsid w:val="00750476"/>
    <w:rsid w:val="007910D0"/>
    <w:rsid w:val="007921C6"/>
    <w:rsid w:val="007A6890"/>
    <w:rsid w:val="007D36C4"/>
    <w:rsid w:val="007F0AB1"/>
    <w:rsid w:val="007F4509"/>
    <w:rsid w:val="00880679"/>
    <w:rsid w:val="0091585E"/>
    <w:rsid w:val="00985DA8"/>
    <w:rsid w:val="009B4B1F"/>
    <w:rsid w:val="009F5BD0"/>
    <w:rsid w:val="00A12D82"/>
    <w:rsid w:val="00AB047B"/>
    <w:rsid w:val="00AF40DF"/>
    <w:rsid w:val="00B728EB"/>
    <w:rsid w:val="00B804E2"/>
    <w:rsid w:val="00B922A1"/>
    <w:rsid w:val="00BC4068"/>
    <w:rsid w:val="00BF48EC"/>
    <w:rsid w:val="00C14B74"/>
    <w:rsid w:val="00C14EA4"/>
    <w:rsid w:val="00C350A0"/>
    <w:rsid w:val="00C42B92"/>
    <w:rsid w:val="00C8396B"/>
    <w:rsid w:val="00C87324"/>
    <w:rsid w:val="00C90FBF"/>
    <w:rsid w:val="00CC4FFC"/>
    <w:rsid w:val="00CD2DDE"/>
    <w:rsid w:val="00CD5A45"/>
    <w:rsid w:val="00CE289A"/>
    <w:rsid w:val="00D47282"/>
    <w:rsid w:val="00D52CCC"/>
    <w:rsid w:val="00DD1E47"/>
    <w:rsid w:val="00E12208"/>
    <w:rsid w:val="00E4368A"/>
    <w:rsid w:val="00E6281A"/>
    <w:rsid w:val="00E9724E"/>
    <w:rsid w:val="00EA7B65"/>
    <w:rsid w:val="00F41E23"/>
    <w:rsid w:val="00F5386A"/>
    <w:rsid w:val="00F62502"/>
    <w:rsid w:val="00F65057"/>
    <w:rsid w:val="00F83AB1"/>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C8BE4"/>
  <w15:docId w15:val="{E6340948-BB35-442B-A5F7-8D4B3B5A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hyperlink" Target="https://tass.ru/ekonomika/12471535"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iz.ru/1224909/2021-09-21/pravitelsvo-rf-utverdilo-proekt-biudzheta-na-2022-2024-gody" TargetMode="External" /><Relationship Id="rId5" Type="http://schemas.openxmlformats.org/officeDocument/2006/relationships/footnotes" Target="footnotes.xml" /><Relationship Id="rId15" Type="http://schemas.openxmlformats.org/officeDocument/2006/relationships/chart" Target="charts/chart1.xml" /><Relationship Id="rId10" Type="http://schemas.openxmlformats.org/officeDocument/2006/relationships/hyperlink" Target="https://www.interfax-russia.ru/northwest/news/vlasti-kaliningradskoy-oblasti-planiruyut-kontrolirovat-neispolzuemye-zemli-po-novoy-metodike" TargetMode="External" /><Relationship Id="rId4" Type="http://schemas.openxmlformats.org/officeDocument/2006/relationships/webSettings" Target="webSettings.xml" /><Relationship Id="rId9" Type="http://schemas.openxmlformats.org/officeDocument/2006/relationships/hyperlink" Target="https://tass.ru/ekonomika/12469695" TargetMode="External" /><Relationship Id="rId14" Type="http://schemas.openxmlformats.org/officeDocument/2006/relationships/footer" Target="footer2.xml" /></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 /><Relationship Id="rId1" Type="http://schemas.openxmlformats.org/officeDocument/2006/relationships/image" Target="media/image1.gif" /></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 /><Relationship Id="rId1" Type="http://schemas.openxmlformats.org/officeDocument/2006/relationships/image" Target="media/image1.gif"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esh\OneDrive\&#1056;&#1072;&#1073;&#1086;&#1095;&#1080;&#1081;%20&#1089;&#1090;&#1086;&#1083;\&#1052;&#1080;&#1085;&#1089;&#1077;&#1083;&#1100;&#1093;&#1086;&#1079;\&#1052;&#1080;&#1085;&#1089;&#1077;&#1083;&#1100;&#1093;&#1086;&#1079;_&#1064;&#1072;&#1073;&#1083;&#1086;&#1085;.dotx" TargetMode="External" /></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234875052383197E-2"/>
          <c:y val="6.0261057971780378E-2"/>
          <c:w val="0.87258598557533251"/>
          <c:h val="0.62328312987722145"/>
        </c:manualLayout>
      </c:layout>
      <c:lineChart>
        <c:grouping val="standard"/>
        <c:varyColors val="0"/>
        <c:ser>
          <c:idx val="0"/>
          <c:order val="0"/>
          <c:tx>
            <c:strRef>
              <c:f>Лист1!$B$1</c:f>
              <c:strCache>
                <c:ptCount val="1"/>
                <c:pt idx="0">
                  <c:v>Динамика публикаций</c:v>
                </c:pt>
              </c:strCache>
            </c:strRef>
          </c:tx>
          <c:spPr>
            <a:ln w="25400">
              <a:solidFill>
                <a:schemeClr val="accent6">
                  <a:lumMod val="50000"/>
                </a:schemeClr>
              </a:solidFill>
            </a:ln>
          </c:spPr>
          <c:marker>
            <c:symbol val="circle"/>
            <c:size val="5"/>
            <c:spPr>
              <a:solidFill>
                <a:schemeClr val="bg1">
                  <a:lumMod val="95000"/>
                  <a:alpha val="92000"/>
                </a:schemeClr>
              </a:solidFill>
              <a:ln>
                <a:solidFill>
                  <a:schemeClr val="accent6">
                    <a:lumMod val="50000"/>
                  </a:schemeClr>
                </a:solidFill>
              </a:ln>
            </c:spPr>
          </c:marker>
          <c:cat>
            <c:strRef>
              <c:f>Лист1!$A$2:$A$33</c:f>
              <c:strCache>
                <c:ptCount val="32"/>
                <c:pt idx="0">
                  <c:v>22.08.21</c:v>
                </c:pt>
                <c:pt idx="1">
                  <c:v>23.08.21</c:v>
                </c:pt>
                <c:pt idx="2">
                  <c:v>24.08.21</c:v>
                </c:pt>
                <c:pt idx="3">
                  <c:v>25.08.21</c:v>
                </c:pt>
                <c:pt idx="4">
                  <c:v>26.08.21</c:v>
                </c:pt>
                <c:pt idx="5">
                  <c:v>27.08.21</c:v>
                </c:pt>
                <c:pt idx="6">
                  <c:v>28.08.21</c:v>
                </c:pt>
                <c:pt idx="7">
                  <c:v>29.08.21</c:v>
                </c:pt>
                <c:pt idx="8">
                  <c:v>30.08.21</c:v>
                </c:pt>
                <c:pt idx="9">
                  <c:v>31.08.21</c:v>
                </c:pt>
                <c:pt idx="10">
                  <c:v>01.09.21</c:v>
                </c:pt>
                <c:pt idx="11">
                  <c:v>02.09.21</c:v>
                </c:pt>
                <c:pt idx="12">
                  <c:v>03.09.21</c:v>
                </c:pt>
                <c:pt idx="13">
                  <c:v>04.09.21</c:v>
                </c:pt>
                <c:pt idx="14">
                  <c:v>05.09.21</c:v>
                </c:pt>
                <c:pt idx="15">
                  <c:v>06.09.21</c:v>
                </c:pt>
                <c:pt idx="16">
                  <c:v>07.09.21</c:v>
                </c:pt>
                <c:pt idx="17">
                  <c:v>08.09.21</c:v>
                </c:pt>
                <c:pt idx="18">
                  <c:v>09.09.21</c:v>
                </c:pt>
                <c:pt idx="19">
                  <c:v>10.09.21</c:v>
                </c:pt>
                <c:pt idx="20">
                  <c:v>11.09.21</c:v>
                </c:pt>
                <c:pt idx="21">
                  <c:v>12.09.21</c:v>
                </c:pt>
                <c:pt idx="22">
                  <c:v>13.09.21</c:v>
                </c:pt>
                <c:pt idx="23">
                  <c:v>14.09.21</c:v>
                </c:pt>
                <c:pt idx="24">
                  <c:v>15.09.21</c:v>
                </c:pt>
                <c:pt idx="25">
                  <c:v>16.09.21</c:v>
                </c:pt>
                <c:pt idx="26">
                  <c:v>17.09.21</c:v>
                </c:pt>
                <c:pt idx="27">
                  <c:v>18.09.21</c:v>
                </c:pt>
                <c:pt idx="28">
                  <c:v>19.09.21</c:v>
                </c:pt>
                <c:pt idx="29">
                  <c:v>20.09.21</c:v>
                </c:pt>
                <c:pt idx="30">
                  <c:v>21.09.21</c:v>
                </c:pt>
                <c:pt idx="31">
                  <c:v>22.09.21</c:v>
                </c:pt>
              </c:strCache>
            </c:strRef>
          </c:cat>
          <c:val>
            <c:numRef>
              <c:f>Лист1!$B$2:$B$33</c:f>
              <c:numCache>
                <c:formatCode>General</c:formatCode>
                <c:ptCount val="32"/>
                <c:pt idx="0">
                  <c:v>76</c:v>
                </c:pt>
                <c:pt idx="1">
                  <c:v>556</c:v>
                </c:pt>
                <c:pt idx="2">
                  <c:v>1005</c:v>
                </c:pt>
                <c:pt idx="3">
                  <c:v>687</c:v>
                </c:pt>
                <c:pt idx="4">
                  <c:v>905</c:v>
                </c:pt>
                <c:pt idx="5">
                  <c:v>1177</c:v>
                </c:pt>
                <c:pt idx="6">
                  <c:v>111</c:v>
                </c:pt>
                <c:pt idx="7">
                  <c:v>120</c:v>
                </c:pt>
                <c:pt idx="8">
                  <c:v>737</c:v>
                </c:pt>
                <c:pt idx="9">
                  <c:v>865</c:v>
                </c:pt>
                <c:pt idx="10">
                  <c:v>740</c:v>
                </c:pt>
                <c:pt idx="11">
                  <c:v>776</c:v>
                </c:pt>
                <c:pt idx="12">
                  <c:v>1187</c:v>
                </c:pt>
                <c:pt idx="13">
                  <c:v>310</c:v>
                </c:pt>
                <c:pt idx="14">
                  <c:v>130</c:v>
                </c:pt>
                <c:pt idx="15">
                  <c:v>914</c:v>
                </c:pt>
                <c:pt idx="16">
                  <c:v>855</c:v>
                </c:pt>
                <c:pt idx="17">
                  <c:v>898</c:v>
                </c:pt>
                <c:pt idx="18">
                  <c:v>845</c:v>
                </c:pt>
                <c:pt idx="19">
                  <c:v>831</c:v>
                </c:pt>
                <c:pt idx="20">
                  <c:v>169</c:v>
                </c:pt>
                <c:pt idx="21">
                  <c:v>93</c:v>
                </c:pt>
                <c:pt idx="22">
                  <c:v>784</c:v>
                </c:pt>
                <c:pt idx="23">
                  <c:v>620</c:v>
                </c:pt>
                <c:pt idx="24">
                  <c:v>700</c:v>
                </c:pt>
                <c:pt idx="25">
                  <c:v>861</c:v>
                </c:pt>
                <c:pt idx="26">
                  <c:v>756</c:v>
                </c:pt>
                <c:pt idx="27">
                  <c:v>163</c:v>
                </c:pt>
                <c:pt idx="28">
                  <c:v>157</c:v>
                </c:pt>
                <c:pt idx="29">
                  <c:v>1067</c:v>
                </c:pt>
                <c:pt idx="30">
                  <c:v>562</c:v>
                </c:pt>
                <c:pt idx="31">
                  <c:v>62</c:v>
                </c:pt>
              </c:numCache>
            </c:numRef>
          </c:val>
          <c:smooth val="1"/>
          <c:extLst>
            <c:ext xmlns:c16="http://schemas.microsoft.com/office/drawing/2014/chart" uri="{C3380CC4-5D6E-409C-BE32-E72D297353CC}">
              <c16:uniqueId val="{00000000-2DDC-4332-86EE-65D8FDC78EFD}"/>
            </c:ext>
          </c:extLst>
        </c:ser>
        <c:dLbls>
          <c:showLegendKey val="0"/>
          <c:showVal val="0"/>
          <c:showCatName val="0"/>
          <c:showSerName val="0"/>
          <c:showPercent val="0"/>
          <c:showBubbleSize val="0"/>
        </c:dLbls>
        <c:marker val="1"/>
        <c:smooth val="0"/>
        <c:axId val="343841848"/>
        <c:axId val="343843416"/>
      </c:lineChart>
      <c:catAx>
        <c:axId val="343841848"/>
        <c:scaling>
          <c:orientation val="minMax"/>
        </c:scaling>
        <c:delete val="0"/>
        <c:axPos val="b"/>
        <c:numFmt formatCode="dd/mm/yyyy" sourceLinked="0"/>
        <c:majorTickMark val="out"/>
        <c:minorTickMark val="none"/>
        <c:tickLblPos val="nextTo"/>
        <c:crossAx val="343843416"/>
        <c:crosses val="autoZero"/>
        <c:auto val="1"/>
        <c:lblAlgn val="ctr"/>
        <c:lblOffset val="100"/>
        <c:noMultiLvlLbl val="1"/>
      </c:catAx>
      <c:valAx>
        <c:axId val="343843416"/>
        <c:scaling>
          <c:orientation val="minMax"/>
          <c:max val="1500"/>
          <c:min val="0"/>
        </c:scaling>
        <c:delete val="0"/>
        <c:axPos val="l"/>
        <c:majorGridlines/>
        <c:numFmt formatCode="General" sourceLinked="1"/>
        <c:majorTickMark val="out"/>
        <c:minorTickMark val="none"/>
        <c:tickLblPos val="nextTo"/>
        <c:crossAx val="343841848"/>
        <c:crosses val="autoZero"/>
        <c:crossBetween val="between"/>
      </c:valAx>
    </c:plotArea>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0</TotalTime>
  <Pages>1</Pages>
  <Words>2959</Words>
  <Characters>16871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Мешкова</dc:creator>
  <cp:keywords/>
  <dc:description/>
  <cp:lastModifiedBy>Гость</cp:lastModifiedBy>
  <cp:revision>2</cp:revision>
  <dcterms:created xsi:type="dcterms:W3CDTF">2021-09-22T11:58:00Z</dcterms:created>
  <dcterms:modified xsi:type="dcterms:W3CDTF">2021-09-22T11:58:00Z</dcterms:modified>
</cp:coreProperties>
</file>