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F7340" w14:textId="77777777" w:rsidR="00C8396B" w:rsidRDefault="00C8396B">
      <w:bookmarkStart w:id="0" w:name="_Toc342069526"/>
      <w:bookmarkStart w:id="1" w:name="_Toc342069546"/>
      <w:bookmarkStart w:id="2" w:name="_Toc342069600"/>
    </w:p>
    <w:p w14:paraId="0E8514E0" w14:textId="77777777" w:rsidR="00C8396B" w:rsidRDefault="00C8396B"/>
    <w:p w14:paraId="227E98D1" w14:textId="77777777" w:rsidR="00C8396B" w:rsidRDefault="00C8396B"/>
    <w:p w14:paraId="6DB94052" w14:textId="77777777" w:rsidR="00C8396B" w:rsidRDefault="00C8396B"/>
    <w:p w14:paraId="76E5850B" w14:textId="77777777" w:rsidR="00C8396B" w:rsidRDefault="00C8396B"/>
    <w:p w14:paraId="5E2DEF8E" w14:textId="77777777" w:rsidR="00C8396B" w:rsidRDefault="00C8396B"/>
    <w:p w14:paraId="234BFE78" w14:textId="77777777" w:rsidR="00C8396B" w:rsidRDefault="00C8396B"/>
    <w:p w14:paraId="356DF9F1" w14:textId="77777777" w:rsidR="00C8396B" w:rsidRDefault="00C8396B"/>
    <w:p w14:paraId="571A5CCE" w14:textId="77777777" w:rsidR="00C8396B" w:rsidRDefault="00C8396B"/>
    <w:p w14:paraId="296724E7" w14:textId="77777777" w:rsidR="00C8396B" w:rsidRDefault="00C8396B"/>
    <w:p w14:paraId="74FF7221" w14:textId="77777777" w:rsidR="00C8396B" w:rsidRDefault="00C8396B"/>
    <w:p w14:paraId="06CA4F62" w14:textId="77777777" w:rsidR="00C8396B" w:rsidRDefault="00C8396B"/>
    <w:p w14:paraId="1A540B97" w14:textId="77777777" w:rsidR="00C8396B" w:rsidRDefault="00C8396B"/>
    <w:p w14:paraId="254D610C" w14:textId="77777777" w:rsidR="00C8396B" w:rsidRDefault="00C8396B"/>
    <w:p w14:paraId="2490BDE3" w14:textId="77777777" w:rsidR="00C8396B" w:rsidRDefault="00C8396B"/>
    <w:p w14:paraId="5FD16D9A" w14:textId="77777777" w:rsidR="00C8396B" w:rsidRDefault="00C8396B"/>
    <w:p w14:paraId="0066995F" w14:textId="77777777" w:rsidR="00C8396B" w:rsidRDefault="00C8396B"/>
    <w:p w14:paraId="7B167E9E" w14:textId="77777777" w:rsidR="00C8396B" w:rsidRDefault="00C8396B"/>
    <w:p w14:paraId="29045A94" w14:textId="77777777" w:rsidR="00C8396B" w:rsidRDefault="00C8396B"/>
    <w:p w14:paraId="2713A646" w14:textId="77777777" w:rsidR="00C8396B" w:rsidRDefault="00C8396B"/>
    <w:p w14:paraId="37DEA259" w14:textId="77777777" w:rsidR="00C8396B" w:rsidRDefault="00C8396B"/>
    <w:p w14:paraId="7306FEC7" w14:textId="77777777" w:rsidR="00C8396B" w:rsidRDefault="00C8396B"/>
    <w:p w14:paraId="6E691F50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51E32630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123CEF75" w14:textId="77777777" w:rsidR="00C8396B" w:rsidRDefault="006464CF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B4B1F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23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B4B1F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46BB242F" w14:textId="77777777" w:rsidR="00C8396B" w:rsidRDefault="00C8396B"/>
    <w:p w14:paraId="14680042" w14:textId="77777777" w:rsidR="00C8396B" w:rsidRDefault="00C8396B"/>
    <w:p w14:paraId="74DEAE01" w14:textId="7199D988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1DC647E3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5AE1445C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78C3FAAE" w14:textId="77777777">
        <w:tc>
          <w:tcPr>
            <w:tcW w:w="7380" w:type="dxa"/>
            <w:gridSpan w:val="3"/>
            <w:shd w:val="clear" w:color="auto" w:fill="008B53"/>
          </w:tcPr>
          <w:p w14:paraId="0F085671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4DE8D86F" w14:textId="77777777" w:rsidR="00C8396B" w:rsidRDefault="006464CF" w:rsidP="006464CF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23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9B4B1F">
              <w:rPr>
                <w:rFonts w:cs="Arial"/>
                <w:color w:val="FFFFFF"/>
                <w:sz w:val="28"/>
                <w:szCs w:val="28"/>
              </w:rPr>
              <w:t>апреля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4890EA7D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1174D5AE" w14:textId="77777777" w:rsidR="00C8396B" w:rsidRDefault="00C8396B">
            <w:bookmarkStart w:id="4" w:name="SEC_1"/>
          </w:p>
          <w:p w14:paraId="4A36406A" w14:textId="77777777" w:rsidR="002364C8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1E51F1EF" w14:textId="77777777" w:rsidR="002364C8" w:rsidRPr="00BE19C5" w:rsidRDefault="001B212B" w:rsidP="001B212B">
            <w:pPr>
              <w:pStyle w:val="a9"/>
            </w:pPr>
            <w:r>
              <w:t>23 АПРЕЛЯ</w:t>
            </w:r>
          </w:p>
          <w:p w14:paraId="4EACE4F3" w14:textId="149A879E" w:rsidR="00C8396B" w:rsidRPr="002364C8" w:rsidRDefault="002364C8" w:rsidP="002364C8">
            <w:r w:rsidRPr="00BE19C5">
              <w:t xml:space="preserve">СВЕТЛОГОРСК (КАЛИНИНГРАДСКАЯ ОБЛАСТЬ). 13:00. Расширенное заседание коллегии Федерального агентства по рыболовству. Проводит руководитель </w:t>
            </w:r>
            <w:proofErr w:type="spellStart"/>
            <w:r w:rsidRPr="00BE19C5">
              <w:t>Росрыболовства</w:t>
            </w:r>
            <w:proofErr w:type="spellEnd"/>
            <w:r w:rsidRPr="00BE19C5">
              <w:t xml:space="preserve"> Илья Шестаков. В повестке обсуждение прогнозов по предстоящей лососевой путине, прогноза реализации программы строительства судов и заводов в рамках реализации механизма инвестиционных квот, развития международного сотрудничества и проведения </w:t>
            </w:r>
            <w:proofErr w:type="spellStart"/>
            <w:r w:rsidRPr="00BE19C5">
              <w:t>рыбохозяйственных</w:t>
            </w:r>
            <w:proofErr w:type="spellEnd"/>
            <w:r w:rsidRPr="00BE19C5">
              <w:t xml:space="preserve"> исследований. </w:t>
            </w:r>
          </w:p>
          <w:p w14:paraId="59D82527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14:paraId="54163211" w14:textId="77777777" w:rsidR="002364C8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728B9B67" w14:textId="77777777" w:rsidR="001B212B" w:rsidRDefault="001B212B" w:rsidP="001B212B">
            <w:pPr>
              <w:pStyle w:val="a9"/>
            </w:pPr>
            <w:r>
              <w:t>Правительство</w:t>
            </w:r>
          </w:p>
          <w:p w14:paraId="70D5A777" w14:textId="77777777" w:rsidR="002364C8" w:rsidRDefault="002364C8" w:rsidP="002364C8">
            <w:r w:rsidRPr="002114FE">
              <w:t xml:space="preserve">Президент России Владимир Путин назначил Ольгу Лякину заместителем управляющего делами главы государства. </w:t>
            </w:r>
          </w:p>
          <w:p w14:paraId="4F86738B" w14:textId="77777777" w:rsidR="001B212B" w:rsidRDefault="001B212B" w:rsidP="002364C8"/>
          <w:p w14:paraId="740B8A50" w14:textId="77777777" w:rsidR="001B212B" w:rsidRDefault="001B212B" w:rsidP="001B212B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79C611B3" w14:textId="77777777" w:rsidR="001B212B" w:rsidRPr="002114FE" w:rsidRDefault="001B212B" w:rsidP="002364C8"/>
          <w:p w14:paraId="3EA1FCEF" w14:textId="77777777" w:rsidR="002364C8" w:rsidRPr="003820D0" w:rsidRDefault="002364C8" w:rsidP="002364C8">
            <w:pPr>
              <w:rPr>
                <w:b/>
                <w:bCs/>
              </w:rPr>
            </w:pPr>
            <w:r w:rsidRPr="003820D0">
              <w:rPr>
                <w:b/>
                <w:bCs/>
              </w:rPr>
              <w:t>23 апреля</w:t>
            </w:r>
          </w:p>
          <w:p w14:paraId="67712EDE" w14:textId="77777777" w:rsidR="002364C8" w:rsidRPr="002114FE" w:rsidRDefault="002364C8" w:rsidP="002364C8">
            <w:r w:rsidRPr="002114FE">
              <w:t>Всемирный день книги и авторского права</w:t>
            </w:r>
          </w:p>
          <w:p w14:paraId="7C1FF6E0" w14:textId="77777777" w:rsidR="00C8396B" w:rsidRPr="002364C8" w:rsidRDefault="00C8396B" w:rsidP="002364C8"/>
          <w:bookmarkEnd w:id="5"/>
          <w:p w14:paraId="714EF5B8" w14:textId="77777777" w:rsidR="00C8396B" w:rsidRDefault="00C8396B" w:rsidP="002364C8">
            <w:pPr>
              <w:jc w:val="left"/>
            </w:pPr>
          </w:p>
        </w:tc>
        <w:tc>
          <w:tcPr>
            <w:tcW w:w="283" w:type="dxa"/>
          </w:tcPr>
          <w:p w14:paraId="7D3587E7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09ABB710" w14:textId="448B4AAB" w:rsidR="002364C8" w:rsidRDefault="00BA1B44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bookmarkEnd w:id="6"/>
          <w:p w14:paraId="46E6C7C2" w14:textId="77777777" w:rsidR="00C8396B" w:rsidRDefault="00C8396B" w:rsidP="003820D0"/>
          <w:p w14:paraId="2F07B7EF" w14:textId="77777777" w:rsidR="003820D0" w:rsidRPr="003820D0" w:rsidRDefault="003820D0" w:rsidP="003820D0">
            <w:pPr>
              <w:rPr>
                <w:b/>
                <w:bCs/>
                <w:iCs/>
              </w:rPr>
            </w:pPr>
            <w:r w:rsidRPr="003820D0">
              <w:rPr>
                <w:b/>
                <w:bCs/>
                <w:iCs/>
              </w:rPr>
              <w:t>В МИНСЕЛЬХОЗЕ ОБСУДИЛИ ВОПРОСЫ МОДЕРНИЗАЦИИ ПАРКА СЕЛЬХОЗТЕХНИКИ В РЕСПУБЛИКЕ ИНГУШЕТИЯ</w:t>
            </w:r>
          </w:p>
          <w:p w14:paraId="56280824" w14:textId="77777777" w:rsidR="003820D0" w:rsidRPr="003820D0" w:rsidRDefault="003820D0" w:rsidP="003820D0">
            <w:pPr>
              <w:rPr>
                <w:iCs/>
              </w:rPr>
            </w:pPr>
            <w:r w:rsidRPr="003820D0">
              <w:rPr>
                <w:iCs/>
              </w:rPr>
              <w:t xml:space="preserve">В </w:t>
            </w:r>
            <w:r w:rsidRPr="003820D0">
              <w:rPr>
                <w:b/>
                <w:bCs/>
                <w:iCs/>
              </w:rPr>
              <w:t>Минсельхозе России</w:t>
            </w:r>
            <w:r w:rsidRPr="003820D0">
              <w:rPr>
                <w:iCs/>
              </w:rPr>
              <w:t xml:space="preserve"> продолжается серия совещаний, посвященных технической и технологической модернизации АПК. Сегодня были рассмотрены темпы обновления парка техники в Республике Ингушетия. В мероприятии приняли участие представители региона, </w:t>
            </w:r>
            <w:proofErr w:type="spellStart"/>
            <w:r w:rsidRPr="003820D0">
              <w:rPr>
                <w:iCs/>
              </w:rPr>
              <w:t>Минпромторга</w:t>
            </w:r>
            <w:proofErr w:type="spellEnd"/>
            <w:r w:rsidRPr="003820D0">
              <w:rPr>
                <w:iCs/>
              </w:rPr>
              <w:t xml:space="preserve"> России, российских заводов-производителей сельхозтехники и отраслевых союзов. </w:t>
            </w:r>
          </w:p>
          <w:p w14:paraId="529FA86E" w14:textId="05A8E536" w:rsidR="003820D0" w:rsidRPr="003820D0" w:rsidRDefault="003820D0" w:rsidP="003820D0">
            <w:pPr>
              <w:rPr>
                <w:iCs/>
              </w:rPr>
            </w:pPr>
            <w:r w:rsidRPr="003820D0">
              <w:rPr>
                <w:iCs/>
              </w:rPr>
              <w:t xml:space="preserve">К началу весенних полевых работ у аграриев республики имеются в наличии 641 трактор, 165 зерноуборочных и 25 кормоуборочных комбайнов. С начала года </w:t>
            </w:r>
            <w:proofErr w:type="spellStart"/>
            <w:r w:rsidRPr="003820D0">
              <w:rPr>
                <w:iCs/>
              </w:rPr>
              <w:t>сельхозтоваропроизводители</w:t>
            </w:r>
            <w:proofErr w:type="spellEnd"/>
            <w:r w:rsidRPr="003820D0">
              <w:rPr>
                <w:iCs/>
              </w:rPr>
              <w:t xml:space="preserve"> региона приобрели 15 тракторов, что составляет 75% от плана. При этом необходимо увеличить закупку кормоуборочных и зерноуборочных комбайнов.</w:t>
            </w:r>
            <w:r w:rsidR="0094769A">
              <w:rPr>
                <w:iCs/>
              </w:rPr>
              <w:t xml:space="preserve"> </w:t>
            </w:r>
            <w:r w:rsidRPr="003820D0">
              <w:rPr>
                <w:iCs/>
              </w:rPr>
              <w:t xml:space="preserve">По словам </w:t>
            </w:r>
            <w:r w:rsidRPr="0094769A">
              <w:rPr>
                <w:b/>
                <w:bCs/>
                <w:iCs/>
              </w:rPr>
              <w:t>Первого заместителя Министра</w:t>
            </w:r>
            <w:r w:rsidRPr="003820D0">
              <w:rPr>
                <w:iCs/>
              </w:rPr>
              <w:t xml:space="preserve"> </w:t>
            </w:r>
            <w:proofErr w:type="spellStart"/>
            <w:r w:rsidRPr="003820D0">
              <w:rPr>
                <w:b/>
                <w:bCs/>
                <w:iCs/>
              </w:rPr>
              <w:t>Джамбулата</w:t>
            </w:r>
            <w:proofErr w:type="spellEnd"/>
            <w:r w:rsidRPr="003820D0">
              <w:rPr>
                <w:b/>
                <w:bCs/>
                <w:iCs/>
              </w:rPr>
              <w:t xml:space="preserve"> </w:t>
            </w:r>
            <w:proofErr w:type="spellStart"/>
            <w:r w:rsidRPr="003820D0">
              <w:rPr>
                <w:b/>
                <w:bCs/>
                <w:iCs/>
              </w:rPr>
              <w:t>Хатуова</w:t>
            </w:r>
            <w:proofErr w:type="spellEnd"/>
            <w:r w:rsidRPr="003820D0">
              <w:rPr>
                <w:iCs/>
              </w:rPr>
              <w:t xml:space="preserve">, активной модернизации сельского хозяйства во многом способствуют меры господдержки и в первую очередь льготные лизинговые программы АО </w:t>
            </w:r>
            <w:r w:rsidR="00E75987">
              <w:rPr>
                <w:iCs/>
              </w:rPr>
              <w:t>«</w:t>
            </w:r>
            <w:proofErr w:type="spellStart"/>
            <w:r w:rsidRPr="003820D0">
              <w:rPr>
                <w:iCs/>
              </w:rPr>
              <w:t>Росагролизинг</w:t>
            </w:r>
            <w:proofErr w:type="spellEnd"/>
            <w:r w:rsidR="00E75987">
              <w:rPr>
                <w:iCs/>
              </w:rPr>
              <w:t>»</w:t>
            </w:r>
            <w:r w:rsidRPr="003820D0">
              <w:rPr>
                <w:iCs/>
              </w:rPr>
              <w:t xml:space="preserve">. </w:t>
            </w:r>
            <w:r w:rsidRPr="003820D0">
              <w:rPr>
                <w:i/>
              </w:rPr>
              <w:t>Глас Народа</w:t>
            </w:r>
            <w:r w:rsidR="00A468D9">
              <w:rPr>
                <w:i/>
              </w:rPr>
              <w:t>, Крестьянские Ведомости</w:t>
            </w:r>
          </w:p>
          <w:p w14:paraId="467D8037" w14:textId="77777777" w:rsidR="003820D0" w:rsidRDefault="003820D0" w:rsidP="003820D0"/>
          <w:p w14:paraId="57AC932C" w14:textId="77777777" w:rsidR="003820D0" w:rsidRPr="003820D0" w:rsidRDefault="003820D0" w:rsidP="003820D0">
            <w:pPr>
              <w:rPr>
                <w:b/>
                <w:bCs/>
                <w:iCs/>
              </w:rPr>
            </w:pPr>
            <w:r w:rsidRPr="003820D0">
              <w:rPr>
                <w:b/>
                <w:bCs/>
                <w:iCs/>
              </w:rPr>
              <w:t>МИНСЕЛЬХОЗ РФ В 2020 Г. НАЧАЛ ФИНАНСИРОВАНИЕ ПОЧТИ 150 ПРОЕКТОВ СЕЛЬСКИХ ТЕРРИТОРИЙ</w:t>
            </w:r>
          </w:p>
          <w:p w14:paraId="1296ECFB" w14:textId="2F9A58DA" w:rsidR="003820D0" w:rsidRPr="003820D0" w:rsidRDefault="003820D0" w:rsidP="003820D0">
            <w:pPr>
              <w:rPr>
                <w:iCs/>
              </w:rPr>
            </w:pPr>
            <w:r w:rsidRPr="003820D0">
              <w:rPr>
                <w:iCs/>
              </w:rPr>
              <w:t xml:space="preserve">Минсельхоз в 2020 г. начал финансирование в России почти 150 проектов в рамках программы </w:t>
            </w:r>
            <w:r w:rsidR="00E75987">
              <w:rPr>
                <w:iCs/>
              </w:rPr>
              <w:t>«</w:t>
            </w:r>
            <w:r w:rsidRPr="003820D0">
              <w:rPr>
                <w:iCs/>
              </w:rPr>
              <w:t>Современный облик сельских территорий</w:t>
            </w:r>
            <w:r w:rsidR="00E75987">
              <w:rPr>
                <w:iCs/>
              </w:rPr>
              <w:t>»</w:t>
            </w:r>
            <w:r w:rsidRPr="003820D0">
              <w:rPr>
                <w:iCs/>
              </w:rPr>
              <w:t xml:space="preserve">. Об этом журналистам сообщила </w:t>
            </w:r>
            <w:r w:rsidRPr="00A468D9">
              <w:rPr>
                <w:b/>
                <w:bCs/>
                <w:iCs/>
              </w:rPr>
              <w:t>заместитель министра сельского хозяйства РФ</w:t>
            </w:r>
            <w:r w:rsidRPr="003820D0">
              <w:rPr>
                <w:iCs/>
              </w:rPr>
              <w:t xml:space="preserve"> </w:t>
            </w:r>
            <w:r w:rsidRPr="003820D0">
              <w:rPr>
                <w:b/>
                <w:bCs/>
                <w:iCs/>
              </w:rPr>
              <w:t xml:space="preserve">Оксана </w:t>
            </w:r>
            <w:proofErr w:type="spellStart"/>
            <w:r w:rsidRPr="003820D0">
              <w:rPr>
                <w:b/>
                <w:bCs/>
                <w:iCs/>
              </w:rPr>
              <w:t>Лут</w:t>
            </w:r>
            <w:proofErr w:type="spellEnd"/>
            <w:r w:rsidRPr="003820D0">
              <w:rPr>
                <w:iCs/>
              </w:rPr>
              <w:t xml:space="preserve">. </w:t>
            </w:r>
          </w:p>
          <w:p w14:paraId="430E2589" w14:textId="34FD6825" w:rsidR="003820D0" w:rsidRPr="003820D0" w:rsidRDefault="00E75987" w:rsidP="003820D0">
            <w:pPr>
              <w:rPr>
                <w:iCs/>
              </w:rPr>
            </w:pPr>
            <w:r>
              <w:rPr>
                <w:iCs/>
              </w:rPr>
              <w:t>«</w:t>
            </w:r>
            <w:r w:rsidR="003820D0" w:rsidRPr="003820D0">
              <w:rPr>
                <w:iCs/>
              </w:rPr>
              <w:t>Программа стартовала достаточно хорошо, несмотря на тяжелый 2020 год. Достаточно поздно начались все мероприятия в связи с пандемией, но тем не менее мы считаем, что показали неплохой результат по итогам первого года. Вместе с регионами мы смогли начать финансирование 147 проектов в рамках современного облика, 92 закончили</w:t>
            </w:r>
            <w:r>
              <w:rPr>
                <w:iCs/>
              </w:rPr>
              <w:t>»</w:t>
            </w:r>
            <w:r w:rsidR="003820D0" w:rsidRPr="003820D0">
              <w:rPr>
                <w:iCs/>
              </w:rPr>
              <w:t xml:space="preserve">, - сказала она. </w:t>
            </w:r>
          </w:p>
          <w:p w14:paraId="10C2D622" w14:textId="789132A2" w:rsidR="003820D0" w:rsidRPr="003820D0" w:rsidRDefault="003820D0" w:rsidP="003820D0">
            <w:pPr>
              <w:rPr>
                <w:iCs/>
              </w:rPr>
            </w:pPr>
            <w:r w:rsidRPr="003820D0">
              <w:rPr>
                <w:iCs/>
              </w:rPr>
              <w:t xml:space="preserve">Говоря о планах по реализации программы на 2021 год, </w:t>
            </w:r>
            <w:proofErr w:type="spellStart"/>
            <w:r w:rsidRPr="003820D0">
              <w:rPr>
                <w:b/>
                <w:bCs/>
                <w:iCs/>
              </w:rPr>
              <w:t>Лут</w:t>
            </w:r>
            <w:proofErr w:type="spellEnd"/>
            <w:r w:rsidRPr="003820D0">
              <w:rPr>
                <w:iCs/>
              </w:rPr>
              <w:t xml:space="preserve"> отметила, что большинство регионов уже закончили конкурсные процедуры по отбору проектов. </w:t>
            </w:r>
          </w:p>
          <w:p w14:paraId="7A8D3483" w14:textId="06F71A69" w:rsidR="003820D0" w:rsidRDefault="003820D0" w:rsidP="003820D0">
            <w:pPr>
              <w:rPr>
                <w:i/>
              </w:rPr>
            </w:pPr>
            <w:r w:rsidRPr="003820D0">
              <w:rPr>
                <w:iCs/>
              </w:rPr>
              <w:t xml:space="preserve">В то же время </w:t>
            </w:r>
            <w:r w:rsidRPr="003820D0">
              <w:rPr>
                <w:b/>
                <w:bCs/>
                <w:iCs/>
              </w:rPr>
              <w:t>Минсельхоз</w:t>
            </w:r>
            <w:r w:rsidRPr="003820D0">
              <w:rPr>
                <w:iCs/>
              </w:rPr>
              <w:t xml:space="preserve"> уже получил заявки на отбор 1 тыс. 112 проектов по всей России на 2022 год. </w:t>
            </w:r>
            <w:r w:rsidRPr="003820D0">
              <w:rPr>
                <w:i/>
              </w:rPr>
              <w:t>ТАСС</w:t>
            </w:r>
            <w:r w:rsidR="00A468D9">
              <w:rPr>
                <w:i/>
              </w:rPr>
              <w:t xml:space="preserve">, </w:t>
            </w:r>
            <w:r w:rsidR="00A468D9" w:rsidRPr="003820D0">
              <w:rPr>
                <w:i/>
              </w:rPr>
              <w:t>Фермер</w:t>
            </w:r>
          </w:p>
          <w:p w14:paraId="1B576316" w14:textId="77777777" w:rsidR="005D00D8" w:rsidRDefault="005D00D8" w:rsidP="003820D0">
            <w:pPr>
              <w:rPr>
                <w:iCs/>
              </w:rPr>
            </w:pPr>
          </w:p>
          <w:p w14:paraId="02810ADA" w14:textId="77777777" w:rsidR="00A468D9" w:rsidRPr="003820D0" w:rsidRDefault="00A468D9" w:rsidP="00A468D9">
            <w:pPr>
              <w:rPr>
                <w:b/>
                <w:bCs/>
                <w:iCs/>
              </w:rPr>
            </w:pPr>
            <w:r w:rsidRPr="003820D0">
              <w:rPr>
                <w:b/>
                <w:bCs/>
                <w:iCs/>
              </w:rPr>
              <w:t>МИНСЕЛЬХОЗ ОЖИДАЕТ УМЕРЕННОЙ ДИНАМИКИ ЦЕН НА ПРОДУКТЫ В ПРЕДЕЛАХ ОБЩЕЙ ИНФЛЯЦИИ</w:t>
            </w:r>
          </w:p>
          <w:p w14:paraId="2B8A0817" w14:textId="77777777" w:rsidR="00A468D9" w:rsidRPr="003820D0" w:rsidRDefault="00A468D9" w:rsidP="00A468D9">
            <w:pPr>
              <w:rPr>
                <w:iCs/>
              </w:rPr>
            </w:pPr>
            <w:r w:rsidRPr="003820D0">
              <w:rPr>
                <w:b/>
                <w:bCs/>
                <w:iCs/>
              </w:rPr>
              <w:t>Минсельхоз РФ</w:t>
            </w:r>
            <w:r w:rsidRPr="003820D0">
              <w:rPr>
                <w:iCs/>
              </w:rPr>
              <w:t xml:space="preserve"> ожидает умеренной ценовой динамики основных категорий продовольствия в 2021 году, она останется в пределах общей инфляции. Об этом говорится в сообщении министерства.</w:t>
            </w:r>
          </w:p>
          <w:p w14:paraId="69652B5A" w14:textId="77777777" w:rsidR="00A468D9" w:rsidRPr="003820D0" w:rsidRDefault="00A468D9" w:rsidP="00A468D9">
            <w:pPr>
              <w:rPr>
                <w:iCs/>
              </w:rPr>
            </w:pPr>
            <w:r>
              <w:rPr>
                <w:iCs/>
              </w:rPr>
              <w:t>«</w:t>
            </w:r>
            <w:r w:rsidRPr="003820D0">
              <w:rPr>
                <w:iCs/>
              </w:rPr>
              <w:t>Системные меры, принятые правительством РФ для регулирования ценовой ситуации на продовольственном рынке, носят комплексный характер и уже позволили снизить волатильность цен на ряд базовых продуктов питания</w:t>
            </w:r>
            <w:r>
              <w:rPr>
                <w:iCs/>
              </w:rPr>
              <w:t>»</w:t>
            </w:r>
            <w:r w:rsidRPr="003820D0">
              <w:rPr>
                <w:iCs/>
              </w:rPr>
              <w:t xml:space="preserve">, - отмечается в сообщении. </w:t>
            </w:r>
          </w:p>
          <w:p w14:paraId="693D1A19" w14:textId="77777777" w:rsidR="00A468D9" w:rsidRPr="0094769A" w:rsidRDefault="00A468D9" w:rsidP="00A468D9">
            <w:pPr>
              <w:rPr>
                <w:i/>
              </w:rPr>
            </w:pPr>
            <w:r w:rsidRPr="003820D0">
              <w:rPr>
                <w:iCs/>
              </w:rPr>
              <w:t xml:space="preserve">Как уточнили в министерстве, снижение цен на зерно в ближайший месяц должно отразиться на стоимости кормов, что поможет сохранить стабильные цены на мясную и молочную продукцию, считают в </w:t>
            </w:r>
            <w:r w:rsidRPr="005D00D8">
              <w:rPr>
                <w:b/>
                <w:bCs/>
                <w:iCs/>
              </w:rPr>
              <w:t>Минсельхозе</w:t>
            </w:r>
            <w:r w:rsidRPr="003820D0">
              <w:rPr>
                <w:iCs/>
              </w:rPr>
              <w:t xml:space="preserve">. При этом там отметили, что годовой тренд в молочной группе сопоставим с уровнем инфляции, а за последний месяц стоимость сыров, сливочного масла, пастеризованного молока демонстрирует </w:t>
            </w:r>
            <w:proofErr w:type="spellStart"/>
            <w:r w:rsidRPr="003820D0">
              <w:rPr>
                <w:iCs/>
              </w:rPr>
              <w:t>околонулевую</w:t>
            </w:r>
            <w:proofErr w:type="spellEnd"/>
            <w:r w:rsidRPr="003820D0">
              <w:rPr>
                <w:iCs/>
              </w:rPr>
              <w:t xml:space="preserve"> динамику. </w:t>
            </w:r>
            <w:r w:rsidRPr="003820D0">
              <w:rPr>
                <w:i/>
              </w:rPr>
              <w:t xml:space="preserve">Интерфакс, ТАСС, </w:t>
            </w:r>
            <w:r w:rsidRPr="00CF5F30">
              <w:rPr>
                <w:i/>
              </w:rPr>
              <w:t>ПРАЙМ</w:t>
            </w:r>
            <w:r>
              <w:rPr>
                <w:i/>
              </w:rPr>
              <w:t xml:space="preserve">, </w:t>
            </w:r>
            <w:r w:rsidRPr="003820D0">
              <w:rPr>
                <w:i/>
              </w:rPr>
              <w:t>РИА Новости, Российская газета, Lenta.ru</w:t>
            </w:r>
            <w:r>
              <w:rPr>
                <w:iCs/>
              </w:rPr>
              <w:t xml:space="preserve">, </w:t>
            </w:r>
            <w:r w:rsidRPr="00CF5F30">
              <w:rPr>
                <w:i/>
              </w:rPr>
              <w:t xml:space="preserve">ИА </w:t>
            </w:r>
            <w:proofErr w:type="spellStart"/>
            <w:r w:rsidRPr="00CF5F30">
              <w:rPr>
                <w:i/>
              </w:rPr>
              <w:t>Regnum</w:t>
            </w:r>
            <w:proofErr w:type="spellEnd"/>
          </w:p>
          <w:p w14:paraId="19756ADA" w14:textId="2EB97201" w:rsidR="00A468D9" w:rsidRPr="005D00D8" w:rsidRDefault="00A468D9" w:rsidP="003820D0">
            <w:pPr>
              <w:rPr>
                <w:iCs/>
              </w:rPr>
            </w:pPr>
          </w:p>
        </w:tc>
      </w:tr>
    </w:tbl>
    <w:p w14:paraId="7A808736" w14:textId="77777777" w:rsidR="00C8396B" w:rsidRDefault="00C8396B" w:rsidP="00A468D9">
      <w:pPr>
        <w:spacing w:line="0" w:lineRule="atLeast"/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7406ACC5" w14:textId="77777777" w:rsidR="00252D67" w:rsidRPr="002364C8" w:rsidRDefault="00252D67" w:rsidP="00A468D9">
      <w:pPr>
        <w:pStyle w:val="a9"/>
        <w:spacing w:before="0" w:line="0" w:lineRule="atLeast"/>
      </w:pPr>
      <w:bookmarkStart w:id="9" w:name="SEC_3"/>
      <w:r w:rsidRPr="002364C8">
        <w:lastRenderedPageBreak/>
        <w:t>ДЕРЕВНЯ СТРОИТСЯ С РАЗМАХОМ</w:t>
      </w:r>
    </w:p>
    <w:p w14:paraId="3F1EF5B5" w14:textId="77777777" w:rsidR="00252D67" w:rsidRDefault="00252D67" w:rsidP="00252D67">
      <w:r>
        <w:t>Новые детские сады и школы, спорткомплексы и дома культуры открываются в российской глубинке по всей стране.</w:t>
      </w:r>
    </w:p>
    <w:p w14:paraId="21C4E936" w14:textId="26E0E4DE" w:rsidR="00252D67" w:rsidRDefault="00252D67" w:rsidP="00252D67">
      <w:r>
        <w:t xml:space="preserve">Жить в тихой деревушке и пользоваться всеми благами цивилизации - уже сегодня это возможно во многих уголках России благодаря госпрограмме развития сельских территорий, которую </w:t>
      </w:r>
      <w:r w:rsidR="00A468D9">
        <w:t>реализует</w:t>
      </w:r>
      <w:r>
        <w:t xml:space="preserve"> </w:t>
      </w:r>
      <w:r w:rsidRPr="002364C8">
        <w:rPr>
          <w:b/>
        </w:rPr>
        <w:t>Минсельхоз</w:t>
      </w:r>
      <w:r>
        <w:t>. Главные ее цели - остановить отток населения и повысить качество жизни на селе. Для этого строятся дороги, новое комфортное жилье, развивается социальная и инженерная инфраструктура, создаются рабочие места.</w:t>
      </w:r>
    </w:p>
    <w:p w14:paraId="1A3388E6" w14:textId="56019E00" w:rsidR="00252D67" w:rsidRDefault="00252D67" w:rsidP="00252D67">
      <w:pPr>
        <w:rPr>
          <w:i/>
        </w:rPr>
      </w:pPr>
      <w:r>
        <w:t xml:space="preserve">Селянам нет необходимости переезжать в город, чтобы получить качественную медицинскую помощь или дать детям хорошее образование. На сегодняшний день реализованы уже тысячи подобных проектов. </w:t>
      </w:r>
      <w:r w:rsidRPr="00CF5F30">
        <w:rPr>
          <w:i/>
        </w:rPr>
        <w:t xml:space="preserve">Комсомольская правда </w:t>
      </w:r>
    </w:p>
    <w:p w14:paraId="17175220" w14:textId="74B64D38" w:rsidR="00A468D9" w:rsidRDefault="00A468D9" w:rsidP="00252D67">
      <w:pPr>
        <w:rPr>
          <w:i/>
        </w:rPr>
      </w:pPr>
    </w:p>
    <w:p w14:paraId="4A72E459" w14:textId="77777777" w:rsidR="00A468D9" w:rsidRPr="00E75987" w:rsidRDefault="00A468D9" w:rsidP="00A468D9">
      <w:pPr>
        <w:rPr>
          <w:b/>
          <w:bCs/>
          <w:iCs/>
        </w:rPr>
      </w:pPr>
      <w:r w:rsidRPr="00E75987">
        <w:rPr>
          <w:b/>
          <w:bCs/>
          <w:iCs/>
        </w:rPr>
        <w:t>НА СЕЛЕ НЕ ЗАСКУЧАЕШЬ!</w:t>
      </w:r>
    </w:p>
    <w:p w14:paraId="34AF1422" w14:textId="77777777" w:rsidR="00A468D9" w:rsidRPr="00E75987" w:rsidRDefault="00A468D9" w:rsidP="00A468D9">
      <w:pPr>
        <w:rPr>
          <w:iCs/>
        </w:rPr>
      </w:pPr>
      <w:proofErr w:type="spellStart"/>
      <w:r w:rsidRPr="00E75987">
        <w:rPr>
          <w:iCs/>
        </w:rPr>
        <w:t>Агротуризм</w:t>
      </w:r>
      <w:proofErr w:type="spellEnd"/>
      <w:r w:rsidRPr="00E75987">
        <w:rPr>
          <w:iCs/>
        </w:rPr>
        <w:t xml:space="preserve"> становится достойной альтернативой модным курортам. Май - лучшее время, чтобы отправиться в путешествие по сельским глубинкам. Увидеть разгар весны, отведать натуральных продуктов, познакомиться с бытом сельских жителей, освоить новые навыки и лучше понять историю страны - здесь каждый найдет что-то ценное для себя. </w:t>
      </w:r>
      <w:r>
        <w:rPr>
          <w:iCs/>
        </w:rPr>
        <w:t>«</w:t>
      </w:r>
      <w:r w:rsidRPr="00E75987">
        <w:rPr>
          <w:iCs/>
        </w:rPr>
        <w:t>КП</w:t>
      </w:r>
      <w:r>
        <w:rPr>
          <w:iCs/>
        </w:rPr>
        <w:t>»</w:t>
      </w:r>
      <w:r w:rsidRPr="00E75987">
        <w:rPr>
          <w:iCs/>
        </w:rPr>
        <w:t xml:space="preserve"> сделала подборку интересных мест для любителей сельского туризма, отобрав их из сотен </w:t>
      </w:r>
      <w:r>
        <w:rPr>
          <w:iCs/>
        </w:rPr>
        <w:t>«</w:t>
      </w:r>
      <w:r w:rsidRPr="00E75987">
        <w:rPr>
          <w:iCs/>
        </w:rPr>
        <w:t>провинциальных жемчужин</w:t>
      </w:r>
      <w:r>
        <w:rPr>
          <w:iCs/>
        </w:rPr>
        <w:t>»</w:t>
      </w:r>
      <w:r w:rsidRPr="00E75987">
        <w:rPr>
          <w:iCs/>
        </w:rPr>
        <w:t xml:space="preserve"> по всей стране. Уровень благоустройства и сервиса во многих из них не разочарует даже самых придирчивых путешественников.</w:t>
      </w:r>
    </w:p>
    <w:p w14:paraId="3BA4221C" w14:textId="77777777" w:rsidR="00A468D9" w:rsidRPr="00E75987" w:rsidRDefault="00A468D9" w:rsidP="00A468D9">
      <w:pPr>
        <w:rPr>
          <w:iCs/>
        </w:rPr>
      </w:pPr>
      <w:r w:rsidRPr="00E75987">
        <w:rPr>
          <w:iCs/>
        </w:rPr>
        <w:t xml:space="preserve">Маршрут № 1 </w:t>
      </w:r>
      <w:proofErr w:type="spellStart"/>
      <w:r w:rsidRPr="00E75987">
        <w:rPr>
          <w:iCs/>
        </w:rPr>
        <w:t>Агроферма</w:t>
      </w:r>
      <w:proofErr w:type="spellEnd"/>
      <w:r w:rsidRPr="00E75987">
        <w:rPr>
          <w:iCs/>
        </w:rPr>
        <w:t xml:space="preserve"> </w:t>
      </w:r>
      <w:r>
        <w:rPr>
          <w:iCs/>
        </w:rPr>
        <w:t>«</w:t>
      </w:r>
      <w:r w:rsidRPr="00E75987">
        <w:rPr>
          <w:iCs/>
        </w:rPr>
        <w:t>Пони-кони двор</w:t>
      </w:r>
      <w:r>
        <w:rPr>
          <w:iCs/>
        </w:rPr>
        <w:t>»</w:t>
      </w:r>
      <w:r w:rsidRPr="00E75987">
        <w:rPr>
          <w:iCs/>
        </w:rPr>
        <w:t xml:space="preserve">, Калининградская область. </w:t>
      </w:r>
      <w:proofErr w:type="spellStart"/>
      <w:r w:rsidRPr="00E75987">
        <w:rPr>
          <w:iCs/>
        </w:rPr>
        <w:t>Полесский</w:t>
      </w:r>
      <w:proofErr w:type="spellEnd"/>
      <w:r w:rsidRPr="00E75987">
        <w:rPr>
          <w:iCs/>
        </w:rPr>
        <w:t xml:space="preserve"> район находится северо-восточнее Калининграда. Здесь процветает сельское хозяйство и сельский туризм. Например, на </w:t>
      </w:r>
      <w:proofErr w:type="spellStart"/>
      <w:r w:rsidRPr="00E75987">
        <w:rPr>
          <w:iCs/>
        </w:rPr>
        <w:t>агроферме</w:t>
      </w:r>
      <w:proofErr w:type="spellEnd"/>
      <w:r w:rsidRPr="00E75987">
        <w:rPr>
          <w:iCs/>
        </w:rPr>
        <w:t xml:space="preserve"> </w:t>
      </w:r>
      <w:r>
        <w:rPr>
          <w:iCs/>
        </w:rPr>
        <w:t>«</w:t>
      </w:r>
      <w:r w:rsidRPr="00E75987">
        <w:rPr>
          <w:iCs/>
        </w:rPr>
        <w:t>Пони-кони двор</w:t>
      </w:r>
      <w:r>
        <w:rPr>
          <w:iCs/>
        </w:rPr>
        <w:t>»</w:t>
      </w:r>
      <w:r w:rsidRPr="00E75987">
        <w:rPr>
          <w:iCs/>
        </w:rPr>
        <w:t xml:space="preserve"> можно погрузиться в пасторальную атмосферу: пасти овечек, доить коров и коз, собирать свежие куриные яйца. </w:t>
      </w:r>
    </w:p>
    <w:p w14:paraId="10BD5502" w14:textId="579D6BA6" w:rsidR="00A468D9" w:rsidRPr="00A468D9" w:rsidRDefault="00A468D9" w:rsidP="00252D67">
      <w:pPr>
        <w:rPr>
          <w:iCs/>
        </w:rPr>
      </w:pPr>
      <w:r w:rsidRPr="00E75987">
        <w:rPr>
          <w:iCs/>
        </w:rPr>
        <w:t xml:space="preserve">Маршрут № 2 Виноградники в </w:t>
      </w:r>
      <w:r>
        <w:rPr>
          <w:iCs/>
        </w:rPr>
        <w:t>«</w:t>
      </w:r>
      <w:r w:rsidRPr="00E75987">
        <w:rPr>
          <w:iCs/>
        </w:rPr>
        <w:t xml:space="preserve">Поместье </w:t>
      </w:r>
      <w:proofErr w:type="spellStart"/>
      <w:r w:rsidRPr="00E75987">
        <w:rPr>
          <w:iCs/>
        </w:rPr>
        <w:t>Голубицкое</w:t>
      </w:r>
      <w:proofErr w:type="spellEnd"/>
      <w:r>
        <w:rPr>
          <w:iCs/>
        </w:rPr>
        <w:t>»</w:t>
      </w:r>
      <w:r w:rsidRPr="00E75987">
        <w:rPr>
          <w:iCs/>
        </w:rPr>
        <w:t xml:space="preserve">, Краснодарский край. Этот туристический центр помогает познакомиться с тайнами производства вина, посетить подземные тоннели, где его выдерживают, продегустировать коллекционные </w:t>
      </w:r>
      <w:proofErr w:type="spellStart"/>
      <w:r w:rsidRPr="00E75987">
        <w:rPr>
          <w:iCs/>
        </w:rPr>
        <w:t>моносортовые</w:t>
      </w:r>
      <w:proofErr w:type="spellEnd"/>
      <w:r w:rsidRPr="00E75987">
        <w:rPr>
          <w:iCs/>
        </w:rPr>
        <w:t xml:space="preserve"> тихие вина. […] </w:t>
      </w:r>
      <w:r w:rsidRPr="00E75987">
        <w:rPr>
          <w:i/>
        </w:rPr>
        <w:t>Комсомольская правда</w:t>
      </w:r>
    </w:p>
    <w:p w14:paraId="44037EE6" w14:textId="77777777" w:rsidR="002364C8" w:rsidRDefault="00F62502" w:rsidP="00252D67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184E9FFA" w14:textId="77777777" w:rsidR="0094769A" w:rsidRPr="002364C8" w:rsidRDefault="00C1028C" w:rsidP="0094769A">
      <w:pPr>
        <w:pStyle w:val="a9"/>
      </w:pPr>
      <w:hyperlink r:id="rId9" w:history="1">
        <w:r w:rsidR="0094769A" w:rsidRPr="002364C8">
          <w:t>В РОССИЮ ДОПУСТЯТ ИМПОРТНЫЙ САХАР</w:t>
        </w:r>
      </w:hyperlink>
    </w:p>
    <w:p w14:paraId="5A89DAE5" w14:textId="5F17D764" w:rsidR="00A468D9" w:rsidRPr="00A468D9" w:rsidRDefault="0094769A" w:rsidP="00A468D9">
      <w:r>
        <w:t>Совет Евразийской экономической комиссии (ЕЭК) решил обнулить пошлину на ввоз 350 тыс. тонн сахара в Россию с 15 мая по 30 сентября 2021 года, сообщили в комиссии.</w:t>
      </w:r>
      <w:r w:rsidR="00A468D9">
        <w:t xml:space="preserve"> </w:t>
      </w:r>
      <w:r>
        <w:t>Сейчас импортная пошлина на белый сахар из стран, не входящих в ЕАЭС, составляет 340 долларов за тонну.</w:t>
      </w:r>
      <w:r w:rsidR="00A468D9">
        <w:t xml:space="preserve"> </w:t>
      </w:r>
      <w:r>
        <w:t xml:space="preserve">При этом коллегия ЕЭК будет в ежемесячном режиме </w:t>
      </w:r>
      <w:proofErr w:type="spellStart"/>
      <w:r>
        <w:t>мониторить</w:t>
      </w:r>
      <w:proofErr w:type="spellEnd"/>
      <w:r>
        <w:t xml:space="preserve"> фактический объем ввоза сахара без пошлины и объем его реализации на внутреннем рынке государств ЕАЭС. </w:t>
      </w:r>
      <w:r w:rsidRPr="00CF5F30">
        <w:rPr>
          <w:i/>
        </w:rPr>
        <w:t xml:space="preserve">Российская газета </w:t>
      </w:r>
    </w:p>
    <w:p w14:paraId="7DE34C06" w14:textId="77777777" w:rsidR="00A468D9" w:rsidRDefault="00A468D9" w:rsidP="00A468D9">
      <w:pPr>
        <w:rPr>
          <w:i/>
        </w:rPr>
      </w:pPr>
    </w:p>
    <w:p w14:paraId="293D491A" w14:textId="759F5DED" w:rsidR="00A468D9" w:rsidRPr="00A468D9" w:rsidRDefault="00A468D9" w:rsidP="00A468D9">
      <w:pPr>
        <w:rPr>
          <w:b/>
          <w:bCs/>
        </w:rPr>
      </w:pPr>
      <w:r w:rsidRPr="00A468D9">
        <w:rPr>
          <w:b/>
          <w:bCs/>
        </w:rPr>
        <w:t>ТИТОВ РАССКАЗАЛ О ГОСПОДДЕРЖКЕ ФЕРМЕРОВ</w:t>
      </w:r>
    </w:p>
    <w:p w14:paraId="6F38991E" w14:textId="77777777" w:rsidR="005D00D8" w:rsidRDefault="005D00D8" w:rsidP="005D00D8">
      <w:r>
        <w:t>Государственная поддержка охватила лишь 8,2% российских фермеров в 2020 году. Такие данные содержатся в подготовленном ежегодном докладе бизнес-омбудсмена РФ Бориса Титова президенту страны Владимиру Путину.</w:t>
      </w:r>
    </w:p>
    <w:p w14:paraId="6956F740" w14:textId="77777777" w:rsidR="005D00D8" w:rsidRDefault="005D00D8" w:rsidP="005D00D8">
      <w:r>
        <w:t>«Так называемая несвязанная поддержка в форме субсидий труднодоступна для большинства крестьянских (фермерских) хозяйств из-за избыточных сопутствующих требований», - привели в пресс-службе выдержку из доклада.</w:t>
      </w:r>
    </w:p>
    <w:p w14:paraId="1052BE94" w14:textId="4B27C528" w:rsidR="00A468D9" w:rsidRPr="00E66A53" w:rsidRDefault="005D00D8" w:rsidP="002364C8">
      <w:r>
        <w:t xml:space="preserve">По данным Ассоциации крестьянских (фермерских) хозяйств (АККОР), которые привел Титов, как минимум в 17 регионах количество получивших поддержку крестьянско-фермерских хозяйств с 2017 по 2020 год снизилось. </w:t>
      </w:r>
      <w:r w:rsidR="00A468D9" w:rsidRPr="00A468D9">
        <w:t xml:space="preserve">Льготное кредитование от коммерческих банков еще менее доступно, говорится в докладе. По данным </w:t>
      </w:r>
      <w:r w:rsidR="00A468D9" w:rsidRPr="00A468D9">
        <w:rPr>
          <w:b/>
          <w:bCs/>
        </w:rPr>
        <w:t>Минсельхоза</w:t>
      </w:r>
      <w:r w:rsidR="00A468D9" w:rsidRPr="00A468D9">
        <w:t>, в 2020 году его сумели получить только 4% из всего числа зарегистрированных крестьянско-фермерских хозяйств. Банки требуют от фермеров избыточный пакет документов.</w:t>
      </w:r>
      <w:r w:rsidR="00A468D9">
        <w:t xml:space="preserve"> </w:t>
      </w:r>
      <w:r w:rsidRPr="00CF5F30">
        <w:rPr>
          <w:i/>
        </w:rPr>
        <w:t>ТАСС, MilkNews.ru</w:t>
      </w:r>
    </w:p>
    <w:p w14:paraId="3000AE64" w14:textId="4083B9EF" w:rsidR="00A468D9" w:rsidRDefault="00A468D9" w:rsidP="002364C8">
      <w:pPr>
        <w:rPr>
          <w:i/>
        </w:rPr>
      </w:pPr>
    </w:p>
    <w:p w14:paraId="22A36A2A" w14:textId="77777777" w:rsidR="00A468D9" w:rsidRPr="0094769A" w:rsidRDefault="00A468D9" w:rsidP="00A468D9">
      <w:pPr>
        <w:rPr>
          <w:b/>
          <w:bCs/>
          <w:iCs/>
        </w:rPr>
      </w:pPr>
      <w:r w:rsidRPr="0094769A">
        <w:rPr>
          <w:b/>
          <w:bCs/>
          <w:iCs/>
        </w:rPr>
        <w:t>В СОВФЕДЕ РАЗРАБОТАЮТ ЗАКОНОПРОЕКТ О НАВОЗЕ</w:t>
      </w:r>
    </w:p>
    <w:p w14:paraId="722CA3B9" w14:textId="77777777" w:rsidR="00A468D9" w:rsidRPr="0094769A" w:rsidRDefault="00A468D9" w:rsidP="00A468D9">
      <w:pPr>
        <w:rPr>
          <w:iCs/>
        </w:rPr>
      </w:pPr>
      <w:r w:rsidRPr="0094769A">
        <w:rPr>
          <w:iCs/>
        </w:rPr>
        <w:t xml:space="preserve">В </w:t>
      </w:r>
      <w:proofErr w:type="spellStart"/>
      <w:r w:rsidRPr="0094769A">
        <w:rPr>
          <w:iCs/>
        </w:rPr>
        <w:t>Совфеде</w:t>
      </w:r>
      <w:proofErr w:type="spellEnd"/>
      <w:r w:rsidRPr="0094769A">
        <w:rPr>
          <w:iCs/>
        </w:rPr>
        <w:t xml:space="preserve"> планируют разработать законопроект о навозе, сообщил глава комитета </w:t>
      </w:r>
      <w:proofErr w:type="spellStart"/>
      <w:r w:rsidRPr="0094769A">
        <w:rPr>
          <w:iCs/>
        </w:rPr>
        <w:t>Совфеда</w:t>
      </w:r>
      <w:proofErr w:type="spellEnd"/>
      <w:r w:rsidRPr="0094769A">
        <w:rPr>
          <w:iCs/>
        </w:rPr>
        <w:t xml:space="preserve"> по бюджету и </w:t>
      </w:r>
      <w:proofErr w:type="spellStart"/>
      <w:r w:rsidRPr="0094769A">
        <w:rPr>
          <w:iCs/>
        </w:rPr>
        <w:t>финрынкам</w:t>
      </w:r>
      <w:proofErr w:type="spellEnd"/>
      <w:r w:rsidRPr="0094769A">
        <w:rPr>
          <w:iCs/>
        </w:rPr>
        <w:t xml:space="preserve"> Анатолий Артамонов.</w:t>
      </w:r>
    </w:p>
    <w:p w14:paraId="3591E193" w14:textId="77777777" w:rsidR="00A468D9" w:rsidRPr="0094769A" w:rsidRDefault="00A468D9" w:rsidP="00A468D9">
      <w:pPr>
        <w:rPr>
          <w:iCs/>
        </w:rPr>
      </w:pPr>
      <w:r>
        <w:rPr>
          <w:iCs/>
        </w:rPr>
        <w:t>«</w:t>
      </w:r>
      <w:r w:rsidRPr="0094769A">
        <w:rPr>
          <w:iCs/>
        </w:rPr>
        <w:t>Мы сейчас в Совете Федерации пытаемся разработать законопроект, который регулировал бы обращение навоза, потому что отбиться без этого документа становится на селе невозможно</w:t>
      </w:r>
      <w:r>
        <w:rPr>
          <w:iCs/>
        </w:rPr>
        <w:t>»</w:t>
      </w:r>
      <w:r w:rsidRPr="0094769A">
        <w:rPr>
          <w:iCs/>
        </w:rPr>
        <w:t xml:space="preserve">, </w:t>
      </w:r>
      <w:r>
        <w:rPr>
          <w:iCs/>
        </w:rPr>
        <w:t>-</w:t>
      </w:r>
      <w:r w:rsidRPr="0094769A">
        <w:rPr>
          <w:iCs/>
        </w:rPr>
        <w:t xml:space="preserve"> заявил сенатор. </w:t>
      </w:r>
    </w:p>
    <w:p w14:paraId="1880D0FB" w14:textId="44CBCDD6" w:rsidR="00A468D9" w:rsidRPr="00A468D9" w:rsidRDefault="00A468D9" w:rsidP="002364C8">
      <w:pPr>
        <w:rPr>
          <w:iCs/>
        </w:rPr>
      </w:pPr>
      <w:r w:rsidRPr="0094769A">
        <w:rPr>
          <w:iCs/>
        </w:rPr>
        <w:t xml:space="preserve">По словам парламентария, разработка инициативы займет много времени </w:t>
      </w:r>
      <w:r>
        <w:rPr>
          <w:iCs/>
        </w:rPr>
        <w:t>-</w:t>
      </w:r>
      <w:r w:rsidRPr="0094769A">
        <w:rPr>
          <w:iCs/>
        </w:rPr>
        <w:t xml:space="preserve"> </w:t>
      </w:r>
      <w:r>
        <w:rPr>
          <w:iCs/>
        </w:rPr>
        <w:t>«</w:t>
      </w:r>
      <w:r w:rsidRPr="0094769A">
        <w:rPr>
          <w:iCs/>
        </w:rPr>
        <w:t>необходимо дать определение навоза, определить, как с ним обращаться, технологию обращения с ним</w:t>
      </w:r>
      <w:r>
        <w:rPr>
          <w:iCs/>
        </w:rPr>
        <w:t>»</w:t>
      </w:r>
      <w:r w:rsidRPr="0094769A">
        <w:rPr>
          <w:iCs/>
        </w:rPr>
        <w:t xml:space="preserve">. </w:t>
      </w:r>
      <w:r w:rsidRPr="00A468D9">
        <w:rPr>
          <w:i/>
        </w:rPr>
        <w:t>РИА Новости</w:t>
      </w:r>
    </w:p>
    <w:p w14:paraId="4040A7EC" w14:textId="77777777"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14:paraId="26CF12E2" w14:textId="711436EC" w:rsidR="001F4913" w:rsidRDefault="001F4913" w:rsidP="003820D0">
      <w:pPr>
        <w:rPr>
          <w:i/>
        </w:rPr>
      </w:pPr>
    </w:p>
    <w:p w14:paraId="6C695878" w14:textId="77777777" w:rsidR="00E66A53" w:rsidRPr="003820D0" w:rsidRDefault="00E66A53" w:rsidP="00E66A53">
      <w:pPr>
        <w:rPr>
          <w:b/>
          <w:bCs/>
          <w:iCs/>
        </w:rPr>
      </w:pPr>
      <w:r w:rsidRPr="003820D0">
        <w:rPr>
          <w:b/>
          <w:bCs/>
          <w:iCs/>
        </w:rPr>
        <w:t>РЫБОПРОМЫШЛЕННИКИ ПРЕДЛОЖИЛИ УВЕЛИЧИТЬ ОБЪЕМЫ ПЕРЕРАБОТКИ</w:t>
      </w:r>
    </w:p>
    <w:p w14:paraId="2073D527" w14:textId="77777777" w:rsidR="00E66A53" w:rsidRPr="003820D0" w:rsidRDefault="00E66A53" w:rsidP="00E66A53">
      <w:pPr>
        <w:rPr>
          <w:iCs/>
        </w:rPr>
      </w:pPr>
      <w:r w:rsidRPr="003820D0">
        <w:rPr>
          <w:iCs/>
        </w:rPr>
        <w:t xml:space="preserve">Всероссийская ассоциация рыбопромышленников (ВАРПЭ) предлагает ужесточить требования к будущим инвесторам, желающим получить квоту на вылов рыбы в обмен на строительство прибрежных заводов. Их могут обязать перерабатывать больше продукции, вылавливаемой по </w:t>
      </w:r>
      <w:proofErr w:type="spellStart"/>
      <w:r w:rsidRPr="003820D0">
        <w:rPr>
          <w:iCs/>
        </w:rPr>
        <w:t>инвестквотам</w:t>
      </w:r>
      <w:proofErr w:type="spellEnd"/>
      <w:r w:rsidRPr="003820D0">
        <w:rPr>
          <w:iCs/>
        </w:rPr>
        <w:t>. Это, по мнению авторов идеи, должно повысить экономический эффект предприятий. Существующее сейчас требование, обязывающее компании перерабатывать до 70% вылова, трудновыполнимо, так что ужесточение правил может только отпугнуть инвесторов, предупреждают участники рынка.</w:t>
      </w:r>
    </w:p>
    <w:p w14:paraId="16C4FFD4" w14:textId="77777777" w:rsidR="00E66A53" w:rsidRPr="003820D0" w:rsidRDefault="00E66A53" w:rsidP="00E66A53">
      <w:pPr>
        <w:rPr>
          <w:iCs/>
        </w:rPr>
      </w:pPr>
      <w:r w:rsidRPr="003820D0">
        <w:rPr>
          <w:iCs/>
        </w:rPr>
        <w:t xml:space="preserve">В </w:t>
      </w:r>
      <w:proofErr w:type="spellStart"/>
      <w:r w:rsidRPr="003820D0">
        <w:rPr>
          <w:b/>
          <w:bCs/>
          <w:iCs/>
        </w:rPr>
        <w:t>Росрыболовстве</w:t>
      </w:r>
      <w:proofErr w:type="spellEnd"/>
      <w:r w:rsidRPr="003820D0">
        <w:rPr>
          <w:iCs/>
        </w:rPr>
        <w:t xml:space="preserve"> заявили “Ъ”, что предложенные ВАРПЭ инициативы по увеличению производства рыбной продукции и учету доставленных на переработку уловов по всем видам квот требуют детального рассмотрения и оценки эффективности этих предложений. </w:t>
      </w:r>
    </w:p>
    <w:p w14:paraId="1E972682" w14:textId="77777777" w:rsidR="00E66A53" w:rsidRPr="003820D0" w:rsidRDefault="00E66A53" w:rsidP="00E66A53">
      <w:pPr>
        <w:rPr>
          <w:iCs/>
        </w:rPr>
      </w:pPr>
      <w:r w:rsidRPr="003820D0">
        <w:rPr>
          <w:iCs/>
        </w:rPr>
        <w:lastRenderedPageBreak/>
        <w:t xml:space="preserve">Управляющий партнер </w:t>
      </w:r>
      <w:proofErr w:type="spellStart"/>
      <w:r w:rsidRPr="003820D0">
        <w:rPr>
          <w:iCs/>
        </w:rPr>
        <w:t>Agro</w:t>
      </w:r>
      <w:proofErr w:type="spellEnd"/>
      <w:r w:rsidRPr="003820D0">
        <w:rPr>
          <w:iCs/>
        </w:rPr>
        <w:t xml:space="preserve"> &amp; </w:t>
      </w:r>
      <w:proofErr w:type="spellStart"/>
      <w:r w:rsidRPr="003820D0">
        <w:rPr>
          <w:iCs/>
        </w:rPr>
        <w:t>Food</w:t>
      </w:r>
      <w:proofErr w:type="spellEnd"/>
      <w:r w:rsidRPr="003820D0">
        <w:rPr>
          <w:iCs/>
        </w:rPr>
        <w:t xml:space="preserve"> </w:t>
      </w:r>
      <w:proofErr w:type="spellStart"/>
      <w:r w:rsidRPr="003820D0">
        <w:rPr>
          <w:iCs/>
        </w:rPr>
        <w:t>Communications</w:t>
      </w:r>
      <w:proofErr w:type="spellEnd"/>
      <w:r w:rsidRPr="003820D0">
        <w:rPr>
          <w:iCs/>
        </w:rPr>
        <w:t xml:space="preserve"> Илья </w:t>
      </w:r>
      <w:proofErr w:type="spellStart"/>
      <w:r w:rsidRPr="003820D0">
        <w:rPr>
          <w:iCs/>
        </w:rPr>
        <w:t>Березнюк</w:t>
      </w:r>
      <w:proofErr w:type="spellEnd"/>
      <w:r w:rsidRPr="003820D0">
        <w:rPr>
          <w:iCs/>
        </w:rPr>
        <w:t xml:space="preserve"> говорит, что развитие рыбопромышленности предполагает дальнейшее расширение глубокой переработки рыбы. </w:t>
      </w:r>
    </w:p>
    <w:p w14:paraId="27AD0F70" w14:textId="77777777" w:rsidR="00E66A53" w:rsidRDefault="00E66A53" w:rsidP="00E66A53">
      <w:pPr>
        <w:rPr>
          <w:i/>
        </w:rPr>
      </w:pPr>
      <w:r w:rsidRPr="003820D0">
        <w:rPr>
          <w:iCs/>
        </w:rPr>
        <w:t xml:space="preserve">Управляющий ГК </w:t>
      </w:r>
      <w:r>
        <w:rPr>
          <w:iCs/>
        </w:rPr>
        <w:t>«</w:t>
      </w:r>
      <w:proofErr w:type="spellStart"/>
      <w:r w:rsidRPr="003820D0">
        <w:rPr>
          <w:iCs/>
        </w:rPr>
        <w:t>Доброфлот</w:t>
      </w:r>
      <w:proofErr w:type="spellEnd"/>
      <w:r>
        <w:rPr>
          <w:iCs/>
        </w:rPr>
        <w:t>»</w:t>
      </w:r>
      <w:r w:rsidRPr="003820D0">
        <w:rPr>
          <w:iCs/>
        </w:rPr>
        <w:t xml:space="preserve"> Александр Ефремов говорит, что уже при существующих требованиях у переработчиков возникают сложности. Президент Ассоциации судовладельцев рыбопромыслового флота (АСРФ) Алексей Осинцев не видит в этом серьезной проблемы. </w:t>
      </w:r>
      <w:r w:rsidRPr="003820D0">
        <w:rPr>
          <w:i/>
        </w:rPr>
        <w:t>Коммерсантъ</w:t>
      </w:r>
    </w:p>
    <w:p w14:paraId="3535F6BB" w14:textId="77777777" w:rsidR="00E66A53" w:rsidRPr="00E87EAE" w:rsidRDefault="00C1028C" w:rsidP="00E66A53">
      <w:pPr>
        <w:pStyle w:val="a9"/>
      </w:pPr>
      <w:hyperlink r:id="rId10" w:history="1">
        <w:r w:rsidR="00E66A53">
          <w:t>«</w:t>
        </w:r>
        <w:r w:rsidR="00E66A53" w:rsidRPr="00E87EAE">
          <w:t>НОРНИКЕЛЬ</w:t>
        </w:r>
        <w:r w:rsidR="00E66A53">
          <w:t>»</w:t>
        </w:r>
        <w:r w:rsidR="00E66A53" w:rsidRPr="00E87EAE">
          <w:t xml:space="preserve"> СОГЛАСИЛСЯ ВОЗМЕСТИТЬ ВРЕД ВОДНЫМ БИОРЕСУРСАМ ОТ РАЗЛИВА ТОПЛИВА НА ТЭЦ</w:t>
        </w:r>
      </w:hyperlink>
    </w:p>
    <w:p w14:paraId="724742DD" w14:textId="77777777" w:rsidR="00E66A53" w:rsidRDefault="00E66A53" w:rsidP="00E66A53">
      <w:r>
        <w:t xml:space="preserve">ГМК «Норильский никель» готова добровольно возместить ущерб водной биологической среде от разлива ГСМ на Норильской ТЭЦ-3 (управляется </w:t>
      </w:r>
      <w:proofErr w:type="spellStart"/>
      <w:r>
        <w:t>Норильско</w:t>
      </w:r>
      <w:proofErr w:type="spellEnd"/>
      <w:r>
        <w:t>-таймырской энергетической компанией, дочерним предприятием «</w:t>
      </w:r>
      <w:proofErr w:type="spellStart"/>
      <w:r>
        <w:t>Норникеля</w:t>
      </w:r>
      <w:proofErr w:type="spellEnd"/>
      <w:r>
        <w:t xml:space="preserve">») в мае 2020 года, который </w:t>
      </w:r>
      <w:proofErr w:type="spellStart"/>
      <w:r w:rsidRPr="00E87EAE">
        <w:rPr>
          <w:b/>
        </w:rPr>
        <w:t>Росрыболовство</w:t>
      </w:r>
      <w:proofErr w:type="spellEnd"/>
      <w:r>
        <w:t xml:space="preserve"> ранее оценило в 3,6 млрд рублей. Соответствующее письмо направлено компанией в </w:t>
      </w:r>
      <w:proofErr w:type="spellStart"/>
      <w:r w:rsidRPr="00E87EAE">
        <w:rPr>
          <w:b/>
        </w:rPr>
        <w:t>Росрыболовство</w:t>
      </w:r>
      <w:proofErr w:type="spellEnd"/>
      <w:r>
        <w:t>, сообщил источник, знакомый с его содержанием.</w:t>
      </w:r>
    </w:p>
    <w:p w14:paraId="32DD1DCF" w14:textId="77777777" w:rsidR="00E66A53" w:rsidRDefault="00E66A53" w:rsidP="00E66A53">
      <w:r>
        <w:t>«Скорейшее и полное восстановление экосистемы района аварии, произошедшей 29.05.2020 на ТЭЦ-3 г. Норильска, является одной из важнейших задач ПАО «ГМК «Норильский никель», в связи с чем компания намерена добровольно возместить вред, причиненный водным биоресурсам», - процитировал он письмо.</w:t>
      </w:r>
    </w:p>
    <w:p w14:paraId="67CD5C0C" w14:textId="77777777" w:rsidR="00E66A53" w:rsidRDefault="00E66A53" w:rsidP="00E66A53">
      <w:pPr>
        <w:rPr>
          <w:i/>
        </w:rPr>
      </w:pPr>
      <w:r>
        <w:t>Источник также пояснил, что в письме «</w:t>
      </w:r>
      <w:proofErr w:type="spellStart"/>
      <w:r>
        <w:t>Норникель</w:t>
      </w:r>
      <w:proofErr w:type="spellEnd"/>
      <w:r>
        <w:t xml:space="preserve">» предлагает </w:t>
      </w:r>
      <w:proofErr w:type="spellStart"/>
      <w:r w:rsidRPr="00E87EAE">
        <w:rPr>
          <w:b/>
        </w:rPr>
        <w:t>Росрыболовству</w:t>
      </w:r>
      <w:proofErr w:type="spellEnd"/>
      <w:r>
        <w:t xml:space="preserve"> обсудить возможные варианты возмещения вреда на рабочей встрече. </w:t>
      </w:r>
      <w:r w:rsidRPr="00E265A0">
        <w:rPr>
          <w:i/>
        </w:rPr>
        <w:t>ТАСС</w:t>
      </w:r>
    </w:p>
    <w:p w14:paraId="5412B2FC" w14:textId="77777777" w:rsidR="00E66A53" w:rsidRDefault="00E66A53" w:rsidP="001F4913">
      <w:pPr>
        <w:rPr>
          <w:b/>
          <w:bCs/>
          <w:iCs/>
        </w:rPr>
      </w:pPr>
      <w:bookmarkStart w:id="11" w:name="_GoBack"/>
      <w:bookmarkEnd w:id="11"/>
    </w:p>
    <w:p w14:paraId="28CB723F" w14:textId="41C8EC01" w:rsidR="001F4913" w:rsidRPr="001F4913" w:rsidRDefault="001F4913" w:rsidP="001F4913">
      <w:pPr>
        <w:rPr>
          <w:b/>
          <w:bCs/>
          <w:iCs/>
        </w:rPr>
      </w:pPr>
      <w:r w:rsidRPr="001F4913">
        <w:rPr>
          <w:b/>
          <w:bCs/>
          <w:iCs/>
        </w:rPr>
        <w:t>ПЛОДЫ СТАБИЛЬНОСТИ</w:t>
      </w:r>
    </w:p>
    <w:p w14:paraId="1FEA9F60" w14:textId="77777777" w:rsidR="001F4913" w:rsidRPr="001F4913" w:rsidRDefault="001F4913" w:rsidP="001F4913">
      <w:pPr>
        <w:rPr>
          <w:iCs/>
        </w:rPr>
      </w:pPr>
      <w:r w:rsidRPr="001F4913">
        <w:rPr>
          <w:iCs/>
        </w:rPr>
        <w:t xml:space="preserve">В первом квартале 2021 года траты россиян на продукты питания, одежду и базовые услуги увеличились на 18% год к году, выяснили в исследовательском центре «Тинькофф </w:t>
      </w:r>
      <w:proofErr w:type="spellStart"/>
      <w:r w:rsidRPr="001F4913">
        <w:rPr>
          <w:iCs/>
        </w:rPr>
        <w:t>Data</w:t>
      </w:r>
      <w:proofErr w:type="spellEnd"/>
      <w:r w:rsidRPr="001F4913">
        <w:rPr>
          <w:iCs/>
        </w:rPr>
        <w:t xml:space="preserve">» на основе анализа трансакций более 13 млн потребителей. Причина - в росте инфляции. </w:t>
      </w:r>
    </w:p>
    <w:p w14:paraId="06F0DA1B" w14:textId="77777777" w:rsidR="001F4913" w:rsidRPr="001F4913" w:rsidRDefault="001F4913" w:rsidP="001F4913">
      <w:pPr>
        <w:rPr>
          <w:iCs/>
        </w:rPr>
      </w:pPr>
      <w:r w:rsidRPr="001F4913">
        <w:rPr>
          <w:iCs/>
        </w:rPr>
        <w:t xml:space="preserve">Разрыв между темпами роста цен и прожиточным минимумом вынуждает россиян серьезно экономить на продуктах, сокращая траты на них. Так, по данным «Тинькофф </w:t>
      </w:r>
      <w:proofErr w:type="spellStart"/>
      <w:r w:rsidRPr="001F4913">
        <w:rPr>
          <w:iCs/>
        </w:rPr>
        <w:t>Data</w:t>
      </w:r>
      <w:proofErr w:type="spellEnd"/>
      <w:r w:rsidRPr="001F4913">
        <w:rPr>
          <w:iCs/>
        </w:rPr>
        <w:t>», в феврале 2021 года покупки яблок упали на 60% год к году. Расходы на приобретение моркови, апельсинов, капусты и хлебобулочных изделий сократились более чем на 40%, картофеля - на 30%, муки - на 13%. Россияне стали меньше есть и мяса: траты на говядину сократились на 25%, свинину - на 13%. При этом потребители увеличили траты на сахар на 18%.</w:t>
      </w:r>
    </w:p>
    <w:p w14:paraId="2F8BFF3C" w14:textId="1F1D1FC0" w:rsidR="001F4913" w:rsidRDefault="001F4913" w:rsidP="003820D0">
      <w:pPr>
        <w:rPr>
          <w:i/>
        </w:rPr>
      </w:pPr>
      <w:r w:rsidRPr="001F4913">
        <w:rPr>
          <w:iCs/>
        </w:rPr>
        <w:t xml:space="preserve">«На сокращение трат на отдельные товары повлияло и то, что пандемия научила россиян отказываться от импульсивных покупок», - говорит партнер </w:t>
      </w:r>
      <w:proofErr w:type="spellStart"/>
      <w:r w:rsidRPr="001F4913">
        <w:rPr>
          <w:iCs/>
        </w:rPr>
        <w:t>OneStory</w:t>
      </w:r>
      <w:proofErr w:type="spellEnd"/>
      <w:r w:rsidRPr="001F4913">
        <w:rPr>
          <w:iCs/>
        </w:rPr>
        <w:t xml:space="preserve"> Ольга </w:t>
      </w:r>
      <w:proofErr w:type="spellStart"/>
      <w:r w:rsidRPr="001F4913">
        <w:rPr>
          <w:iCs/>
        </w:rPr>
        <w:t>Сумишевская</w:t>
      </w:r>
      <w:proofErr w:type="spellEnd"/>
      <w:r w:rsidRPr="001F4913">
        <w:rPr>
          <w:iCs/>
        </w:rPr>
        <w:t xml:space="preserve">. Этот тезис подтверждают аналитики «Тинькофф </w:t>
      </w:r>
      <w:proofErr w:type="spellStart"/>
      <w:r w:rsidRPr="001F4913">
        <w:rPr>
          <w:iCs/>
        </w:rPr>
        <w:t>Data</w:t>
      </w:r>
      <w:proofErr w:type="spellEnd"/>
      <w:r w:rsidRPr="001F4913">
        <w:rPr>
          <w:iCs/>
        </w:rPr>
        <w:t xml:space="preserve">»: почти 50% опрошенных ими россиян в кризис пересмотрели свои потребительские приоритеты. </w:t>
      </w:r>
      <w:r w:rsidRPr="001F4913">
        <w:rPr>
          <w:i/>
        </w:rPr>
        <w:t>Коммерсантъ</w:t>
      </w:r>
    </w:p>
    <w:p w14:paraId="27C170A8" w14:textId="77777777" w:rsidR="0094769A" w:rsidRPr="002364C8" w:rsidRDefault="0094769A" w:rsidP="0094769A">
      <w:pPr>
        <w:pStyle w:val="a9"/>
      </w:pPr>
      <w:r w:rsidRPr="002364C8">
        <w:t>ДАДИМ ВОСТОКУ МЯСО!</w:t>
      </w:r>
    </w:p>
    <w:p w14:paraId="430B954D" w14:textId="650F677F" w:rsidR="0094769A" w:rsidRDefault="0094769A" w:rsidP="0094769A">
      <w:r>
        <w:t xml:space="preserve">В прошлом году Россия значительно увеличила зарубежные поставки продуктов птицеводства и свинины. Конкуренция жесткая, но у нас есть перспективы роста. О них рассказал руководитель управления по взаимодействию с отраслевыми союзами и государственными институтами ТД </w:t>
      </w:r>
      <w:r w:rsidR="00E75987">
        <w:t>«</w:t>
      </w:r>
      <w:r>
        <w:t>Черкизово</w:t>
      </w:r>
      <w:r w:rsidR="00E75987">
        <w:t>»</w:t>
      </w:r>
      <w:r>
        <w:t xml:space="preserve"> Андрей Терехин.</w:t>
      </w:r>
    </w:p>
    <w:p w14:paraId="46BE9F00" w14:textId="1BB1462D" w:rsidR="003820D0" w:rsidRDefault="0094769A" w:rsidP="00E75987">
      <w:pPr>
        <w:rPr>
          <w:i/>
        </w:rPr>
      </w:pPr>
      <w:r>
        <w:t xml:space="preserve">- В 2020 году мясной экспорт продемонстрировал значительный рост. Объемы отгрузок мяса птицы выросли более чем на 40%, в два раза увеличился экспорт свинины и свиных субпродуктов. Есть прогресс по поставкам говядины и индейки. Это много? </w:t>
      </w:r>
      <w:proofErr w:type="gramStart"/>
      <w:r>
        <w:t>Несомненно</w:t>
      </w:r>
      <w:proofErr w:type="gramEnd"/>
      <w:r>
        <w:t xml:space="preserve">. Особенно с учетом пандемических сложностей прошлого года и ужесточившейся конкуренции на рынке. Но для нас это далеко не предел. Я бы отметил несколько направлений возможного увеличения экспорта. </w:t>
      </w:r>
      <w:r w:rsidRPr="00AA3978">
        <w:rPr>
          <w:i/>
        </w:rPr>
        <w:t>Комсомольская правда</w:t>
      </w:r>
    </w:p>
    <w:p w14:paraId="3D8C4A0F" w14:textId="4A01FE96" w:rsidR="00E75987" w:rsidRDefault="00E75987" w:rsidP="00252D67">
      <w:pPr>
        <w:rPr>
          <w:i/>
        </w:rPr>
      </w:pPr>
    </w:p>
    <w:p w14:paraId="5271D3DB" w14:textId="2C431901" w:rsidR="00E75987" w:rsidRPr="00E75987" w:rsidRDefault="00E75987" w:rsidP="00E75987">
      <w:pPr>
        <w:rPr>
          <w:b/>
          <w:bCs/>
          <w:iCs/>
        </w:rPr>
      </w:pPr>
      <w:r w:rsidRPr="00E75987">
        <w:rPr>
          <w:b/>
          <w:bCs/>
          <w:iCs/>
        </w:rPr>
        <w:t>РФ И КУБА ЗАВЕРШАЮТ РАБОТУ НАД МЕЖПРАВИТЕЛЬСТВЕННЫМ СОГЛАШЕНИЕМ ПО КАРАНТИНУ РАСТЕНИЙ - РОССЕЛЬХОЗНАДЗОР</w:t>
      </w:r>
    </w:p>
    <w:p w14:paraId="73D94BCD" w14:textId="4EB213CD" w:rsidR="00E75987" w:rsidRPr="00E75987" w:rsidRDefault="00E75987" w:rsidP="00E75987">
      <w:pPr>
        <w:rPr>
          <w:iCs/>
        </w:rPr>
      </w:pPr>
      <w:r w:rsidRPr="00E75987">
        <w:rPr>
          <w:iCs/>
        </w:rPr>
        <w:t xml:space="preserve">Россия и Куба завершают работу над межправительственным соглашением о сотрудничестве в области карантина растений, согласовывают ветеринарные сертификаты на поставки мясной продукции, сообщает </w:t>
      </w:r>
      <w:proofErr w:type="spellStart"/>
      <w:r w:rsidRPr="00E75987">
        <w:rPr>
          <w:b/>
          <w:bCs/>
          <w:iCs/>
        </w:rPr>
        <w:t>Россельхознадзор</w:t>
      </w:r>
      <w:proofErr w:type="spellEnd"/>
      <w:r w:rsidRPr="00E75987">
        <w:rPr>
          <w:iCs/>
        </w:rPr>
        <w:t xml:space="preserve"> по итогам участия представителей службы в </w:t>
      </w:r>
      <w:proofErr w:type="spellStart"/>
      <w:r w:rsidRPr="00E75987">
        <w:rPr>
          <w:iCs/>
        </w:rPr>
        <w:t>вебинаре</w:t>
      </w:r>
      <w:proofErr w:type="spellEnd"/>
      <w:r w:rsidRPr="00E75987">
        <w:rPr>
          <w:iCs/>
        </w:rPr>
        <w:t xml:space="preserve"> </w:t>
      </w:r>
      <w:r>
        <w:rPr>
          <w:iCs/>
        </w:rPr>
        <w:t>«</w:t>
      </w:r>
      <w:r w:rsidRPr="00E75987">
        <w:rPr>
          <w:iCs/>
        </w:rPr>
        <w:t>Россия - Куба: перспективные направления сотрудничества в сфере АПК</w:t>
      </w:r>
      <w:r>
        <w:rPr>
          <w:iCs/>
        </w:rPr>
        <w:t>».</w:t>
      </w:r>
    </w:p>
    <w:p w14:paraId="723DF01B" w14:textId="05EC5213" w:rsidR="00E75987" w:rsidRPr="00E75987" w:rsidRDefault="00E75987" w:rsidP="00E75987">
      <w:pPr>
        <w:rPr>
          <w:iCs/>
        </w:rPr>
      </w:pPr>
      <w:r>
        <w:rPr>
          <w:iCs/>
        </w:rPr>
        <w:t>«</w:t>
      </w:r>
      <w:r w:rsidRPr="00E75987">
        <w:rPr>
          <w:iCs/>
        </w:rPr>
        <w:t>Важным шагом в процессе расширения взаимных поставок продукции растениеводства должно стать подписание межправительственного соглашения о сотрудничестве в области карантина растений, работа над которым находится в заключительной стадии</w:t>
      </w:r>
      <w:r>
        <w:rPr>
          <w:iCs/>
        </w:rPr>
        <w:t>»</w:t>
      </w:r>
      <w:r w:rsidRPr="00E75987">
        <w:rPr>
          <w:iCs/>
        </w:rPr>
        <w:t>, - говорится в сообщении.</w:t>
      </w:r>
    </w:p>
    <w:p w14:paraId="71A7B590" w14:textId="48FAB6B9" w:rsidR="00E75987" w:rsidRPr="00E75987" w:rsidRDefault="00E75987" w:rsidP="00E75987">
      <w:pPr>
        <w:rPr>
          <w:iCs/>
        </w:rPr>
      </w:pPr>
      <w:proofErr w:type="spellStart"/>
      <w:r w:rsidRPr="00E75987">
        <w:rPr>
          <w:b/>
          <w:bCs/>
          <w:iCs/>
        </w:rPr>
        <w:t>Россельхознадзор</w:t>
      </w:r>
      <w:proofErr w:type="spellEnd"/>
      <w:r w:rsidRPr="00E75987">
        <w:rPr>
          <w:iCs/>
        </w:rPr>
        <w:t xml:space="preserve"> уточнил, что наряду с традиционными кофе и табачными изделиями Куба хотела бы поставлять цитрусовые и ряд тропических фруктов. Россия намерена увеличить поставки пшеницы и продуктов переработки зерна.</w:t>
      </w:r>
      <w:r>
        <w:rPr>
          <w:iCs/>
        </w:rPr>
        <w:t xml:space="preserve"> </w:t>
      </w:r>
      <w:r w:rsidRPr="00E75987">
        <w:rPr>
          <w:iCs/>
        </w:rPr>
        <w:t xml:space="preserve">В сфере ветеринарии достигнуты договоренности об условиях поставок мясной продукции из РФ на Кубу, идет согласование сертификатов для экспорта говядины, свинины, мяса птицы, готовой мясной продукции, рыбы, молока и молочной продукции, утверждены будущие предприятия-поставщики. Из Кубы в Россию экспортируются деликатесные морепродукты, ракообразные. </w:t>
      </w:r>
      <w:r w:rsidRPr="00E75987">
        <w:rPr>
          <w:i/>
        </w:rPr>
        <w:t>Интерфакс</w:t>
      </w:r>
    </w:p>
    <w:p w14:paraId="49ED4927" w14:textId="77777777" w:rsidR="00E75987" w:rsidRPr="00E75987" w:rsidRDefault="00E75987" w:rsidP="00E75987">
      <w:pPr>
        <w:rPr>
          <w:iCs/>
        </w:rPr>
      </w:pPr>
    </w:p>
    <w:p w14:paraId="2F1C301D" w14:textId="0D72B53F" w:rsidR="00E75987" w:rsidRPr="00E75987" w:rsidRDefault="00E75987" w:rsidP="00E75987">
      <w:pPr>
        <w:rPr>
          <w:b/>
          <w:bCs/>
          <w:iCs/>
        </w:rPr>
      </w:pPr>
      <w:r w:rsidRPr="00E75987">
        <w:rPr>
          <w:b/>
          <w:bCs/>
          <w:iCs/>
        </w:rPr>
        <w:t>РФ МОЖЕТ СНИЗИТЬ ЭКСПОРТ КОНДИТЕРСКИХ ИЗДЕЛИЙ В ЕС ИЗ-ЗА НОВЫХ ТРЕБОВАНИЙ К ВВОЗУ КОМПОЗИТНОЙ ПРОДУКЦИИ</w:t>
      </w:r>
    </w:p>
    <w:p w14:paraId="676EA54B" w14:textId="77777777" w:rsidR="00E75987" w:rsidRPr="00E75987" w:rsidRDefault="00E75987" w:rsidP="00E75987">
      <w:pPr>
        <w:rPr>
          <w:iCs/>
        </w:rPr>
      </w:pPr>
      <w:r w:rsidRPr="00E75987">
        <w:rPr>
          <w:iCs/>
        </w:rPr>
        <w:t xml:space="preserve">Россия может резко снизить экспорт кондитерских изделий и другой пищевой продукции в ЕС из-за введения с 21 апреля нового регламента ЕС, содержащего требования к ввозу композитной продукции, сообщается в пресс-релизе </w:t>
      </w:r>
      <w:proofErr w:type="spellStart"/>
      <w:r w:rsidRPr="00E75987">
        <w:rPr>
          <w:b/>
          <w:bCs/>
          <w:iCs/>
        </w:rPr>
        <w:t>Россельхознадзора</w:t>
      </w:r>
      <w:proofErr w:type="spellEnd"/>
      <w:r w:rsidRPr="00E75987">
        <w:rPr>
          <w:iCs/>
        </w:rPr>
        <w:t>.</w:t>
      </w:r>
    </w:p>
    <w:p w14:paraId="0BED0BFD" w14:textId="471328F8" w:rsidR="00E75987" w:rsidRPr="00E75987" w:rsidRDefault="00E75987" w:rsidP="00E75987">
      <w:pPr>
        <w:rPr>
          <w:iCs/>
        </w:rPr>
      </w:pPr>
      <w:r>
        <w:rPr>
          <w:iCs/>
        </w:rPr>
        <w:t>«</w:t>
      </w:r>
      <w:proofErr w:type="spellStart"/>
      <w:r w:rsidRPr="00E75987">
        <w:rPr>
          <w:b/>
          <w:bCs/>
          <w:iCs/>
        </w:rPr>
        <w:t>Россельхознадзор</w:t>
      </w:r>
      <w:proofErr w:type="spellEnd"/>
      <w:r w:rsidRPr="00E75987">
        <w:rPr>
          <w:iCs/>
        </w:rPr>
        <w:t xml:space="preserve"> совместно с </w:t>
      </w:r>
      <w:r w:rsidRPr="00E75987">
        <w:rPr>
          <w:b/>
          <w:bCs/>
          <w:iCs/>
        </w:rPr>
        <w:t>Минсельхозом</w:t>
      </w:r>
      <w:r w:rsidRPr="00E75987">
        <w:rPr>
          <w:iCs/>
        </w:rPr>
        <w:t xml:space="preserve"> выражал опасения о влиянии указанных изменений на российский экспорт кондитерских изделий в связи с использованием при их производстве компонентов животного происхождения (молочные продукты, </w:t>
      </w:r>
      <w:proofErr w:type="spellStart"/>
      <w:r w:rsidRPr="00E75987">
        <w:rPr>
          <w:iCs/>
        </w:rPr>
        <w:t>яйцепродукция</w:t>
      </w:r>
      <w:proofErr w:type="spellEnd"/>
      <w:r w:rsidRPr="00E75987">
        <w:rPr>
          <w:iCs/>
        </w:rPr>
        <w:t xml:space="preserve">, мед). Серьезная обеспокоенность ведомств связана с требованием ЕС об использовании в составе композитной продукции, экспортируемой в ЕС, сырья животного происхождения, </w:t>
      </w:r>
      <w:r w:rsidRPr="00E75987">
        <w:rPr>
          <w:iCs/>
        </w:rPr>
        <w:lastRenderedPageBreak/>
        <w:t>произведенного в странах и на предприятиях, аттестованных Еврокомиссией на поставки в ЕС</w:t>
      </w:r>
      <w:r>
        <w:rPr>
          <w:iCs/>
        </w:rPr>
        <w:t>»</w:t>
      </w:r>
      <w:r w:rsidRPr="00E75987">
        <w:rPr>
          <w:iCs/>
        </w:rPr>
        <w:t xml:space="preserve">, - уточняет </w:t>
      </w:r>
      <w:proofErr w:type="spellStart"/>
      <w:r w:rsidRPr="00E75987">
        <w:rPr>
          <w:b/>
          <w:bCs/>
          <w:iCs/>
        </w:rPr>
        <w:t>Россельхознадзор</w:t>
      </w:r>
      <w:proofErr w:type="spellEnd"/>
      <w:r w:rsidRPr="00E75987">
        <w:rPr>
          <w:iCs/>
        </w:rPr>
        <w:t>.</w:t>
      </w:r>
      <w:r>
        <w:rPr>
          <w:iCs/>
        </w:rPr>
        <w:t xml:space="preserve"> </w:t>
      </w:r>
      <w:r w:rsidRPr="00E75987">
        <w:rPr>
          <w:i/>
        </w:rPr>
        <w:t>Интерфакс</w:t>
      </w:r>
    </w:p>
    <w:p w14:paraId="1FF19F63" w14:textId="77777777" w:rsidR="00E75987" w:rsidRPr="00E75987" w:rsidRDefault="00E75987" w:rsidP="00E75987">
      <w:pPr>
        <w:rPr>
          <w:iCs/>
        </w:rPr>
      </w:pPr>
    </w:p>
    <w:p w14:paraId="137C4E77" w14:textId="1F7C2243" w:rsidR="00E75987" w:rsidRPr="00E75987" w:rsidRDefault="00E75987" w:rsidP="00E75987">
      <w:pPr>
        <w:rPr>
          <w:b/>
          <w:bCs/>
          <w:iCs/>
        </w:rPr>
      </w:pPr>
      <w:r w:rsidRPr="00E75987">
        <w:rPr>
          <w:b/>
          <w:bCs/>
          <w:iCs/>
        </w:rPr>
        <w:t xml:space="preserve">КОНДИТЕРЫ РФ ИЩУТ ВОЗМОЖНОСТИ ПРОДОЛЖАТЬ ЭКСПОРТ В ЕС </w:t>
      </w:r>
    </w:p>
    <w:p w14:paraId="22DAF93C" w14:textId="3166A5CF" w:rsidR="00E75987" w:rsidRPr="00E75987" w:rsidRDefault="00E75987" w:rsidP="00E75987">
      <w:pPr>
        <w:rPr>
          <w:iCs/>
        </w:rPr>
      </w:pPr>
      <w:r w:rsidRPr="00E75987">
        <w:rPr>
          <w:iCs/>
        </w:rPr>
        <w:t xml:space="preserve">Кондитеры РФ ищут возможности продолжать экспорт своей продукции в ЕС в условиях новых европейских требований, чтобы </w:t>
      </w:r>
      <w:r>
        <w:rPr>
          <w:iCs/>
        </w:rPr>
        <w:t>«</w:t>
      </w:r>
      <w:r w:rsidRPr="00E75987">
        <w:rPr>
          <w:iCs/>
        </w:rPr>
        <w:t>не уронить его до нуля</w:t>
      </w:r>
      <w:r>
        <w:rPr>
          <w:iCs/>
        </w:rPr>
        <w:t>»</w:t>
      </w:r>
      <w:r w:rsidRPr="00E75987">
        <w:rPr>
          <w:iCs/>
        </w:rPr>
        <w:t>, сообщили в Ассоциации предприятий кондитерской промышленности (АСКОНД).</w:t>
      </w:r>
    </w:p>
    <w:p w14:paraId="56062826" w14:textId="3979F4DD" w:rsidR="00E75987" w:rsidRDefault="00E75987" w:rsidP="00E75987">
      <w:pPr>
        <w:rPr>
          <w:i/>
        </w:rPr>
      </w:pPr>
      <w:r>
        <w:rPr>
          <w:iCs/>
        </w:rPr>
        <w:t>«</w:t>
      </w:r>
      <w:r w:rsidRPr="00E75987">
        <w:rPr>
          <w:iCs/>
        </w:rPr>
        <w:t xml:space="preserve">Ситуация, действительно, сложная, но она не стала сюрпризом для крупнейших экспортеров российской кондитерской продукции в ЕС, - заявил исполнительный директор АСКОНД Вячеслав </w:t>
      </w:r>
      <w:proofErr w:type="spellStart"/>
      <w:r w:rsidRPr="00E75987">
        <w:rPr>
          <w:iCs/>
        </w:rPr>
        <w:t>Лашманкин</w:t>
      </w:r>
      <w:proofErr w:type="spellEnd"/>
      <w:r w:rsidRPr="00E75987">
        <w:rPr>
          <w:iCs/>
        </w:rPr>
        <w:t>. - У предприятий нашей отрасли была возможность подготовиться к нововведениям и, например, немного адаптировать линейки продукции, поставляемой в ЕС. Такие меры помогут отрасли в краткосрочной перспективе не уронить объемы экспорта в направлении ЕС до нуля, но, очевидно, мы ждем от регуляторов более фундаментальных решений</w:t>
      </w:r>
      <w:r>
        <w:rPr>
          <w:iCs/>
        </w:rPr>
        <w:t>»</w:t>
      </w:r>
      <w:r w:rsidRPr="00E75987">
        <w:rPr>
          <w:iCs/>
        </w:rPr>
        <w:t>.</w:t>
      </w:r>
      <w:r>
        <w:rPr>
          <w:iCs/>
        </w:rPr>
        <w:t xml:space="preserve"> </w:t>
      </w:r>
      <w:r w:rsidRPr="00E75987">
        <w:rPr>
          <w:i/>
        </w:rPr>
        <w:t>Интерфакс</w:t>
      </w:r>
    </w:p>
    <w:p w14:paraId="1983BC56" w14:textId="77777777" w:rsidR="00252D67" w:rsidRPr="00E87EAE" w:rsidRDefault="00C1028C" w:rsidP="00252D67">
      <w:pPr>
        <w:pStyle w:val="a9"/>
      </w:pPr>
      <w:hyperlink r:id="rId11" w:history="1">
        <w:r w:rsidR="00252D67" w:rsidRPr="00E87EAE">
          <w:t>В ЛЕНОБЛАСТИ НАЧАЛСЯ ЛОВ КОРЮШКИ</w:t>
        </w:r>
      </w:hyperlink>
    </w:p>
    <w:p w14:paraId="6DDCE2B7" w14:textId="48DA0084" w:rsidR="00252D67" w:rsidRDefault="00252D67" w:rsidP="00252D67">
      <w:r>
        <w:t xml:space="preserve">В Ленинградской области начался сезон вылова корюшки. Сотрудники Северо-Западного отделения </w:t>
      </w:r>
      <w:proofErr w:type="spellStart"/>
      <w:r w:rsidRPr="00E87EAE">
        <w:rPr>
          <w:b/>
        </w:rPr>
        <w:t>Росрыболовства</w:t>
      </w:r>
      <w:proofErr w:type="spellEnd"/>
      <w:r>
        <w:t xml:space="preserve"> выдали 600 разрешений на промысел </w:t>
      </w:r>
      <w:r w:rsidR="00E75987">
        <w:t>рыбы</w:t>
      </w:r>
      <w:r>
        <w:t>.</w:t>
      </w:r>
    </w:p>
    <w:p w14:paraId="10577C36" w14:textId="74C0EFA8" w:rsidR="00E75987" w:rsidRPr="00E75987" w:rsidRDefault="00252D67" w:rsidP="00252D67">
      <w:r>
        <w:t xml:space="preserve">В Финском заливе квота на вылов - 677 тонн, в Ладожском озере - 1200. В начале сезона один заброс невода приносит в среднем 700 килограммов рыбы. Пик вылова ожидается на майские праздники. Тогда за каждый рейс рыбаки смогут вылавливать до трех тонн корюшки. </w:t>
      </w:r>
      <w:r w:rsidRPr="00E265A0">
        <w:rPr>
          <w:i/>
        </w:rPr>
        <w:t>Общественное телевидение России</w:t>
      </w:r>
    </w:p>
    <w:p w14:paraId="6C6DC2AE" w14:textId="77777777" w:rsidR="00E75987" w:rsidRPr="00E87EAE" w:rsidRDefault="00C1028C" w:rsidP="00E75987">
      <w:pPr>
        <w:pStyle w:val="a9"/>
      </w:pPr>
      <w:hyperlink r:id="rId12" w:history="1">
        <w:r w:rsidR="00E75987" w:rsidRPr="00E87EAE">
          <w:t>ПРОИЗВОДСТВО МОЛОКА ВЫРОСЛО В САХАЛИНСКОЙ ОБЛАСТИ</w:t>
        </w:r>
      </w:hyperlink>
    </w:p>
    <w:p w14:paraId="49D2718A" w14:textId="1A742DB9" w:rsidR="00E75987" w:rsidRDefault="00E75987" w:rsidP="00E75987">
      <w:r>
        <w:t xml:space="preserve">В Сахалинской области за первые три месяца 2021 года произвели 9,7 тыс. тонн молока. Это выше уровня производства 2020 года на 3,6%. Соответствующие данные опубликовал </w:t>
      </w:r>
      <w:proofErr w:type="spellStart"/>
      <w:r>
        <w:t>Сахалинстат</w:t>
      </w:r>
      <w:proofErr w:type="spellEnd"/>
      <w:r>
        <w:t>.</w:t>
      </w:r>
    </w:p>
    <w:p w14:paraId="4FF2C32C" w14:textId="7C512819" w:rsidR="00E75987" w:rsidRPr="00E75987" w:rsidRDefault="00E75987" w:rsidP="00E75987">
      <w:r>
        <w:t xml:space="preserve">По данным экспертов, в хозяйствах всех категорий поголовье крупного рогатого скота на 1 апреля составило 29,3 тыс. голов, в том числе 12,1 тыс. коров. Численность животных выросла по сравнению с 2020 годом на 8,4%. </w:t>
      </w:r>
      <w:r w:rsidRPr="008B604B">
        <w:rPr>
          <w:i/>
        </w:rPr>
        <w:t xml:space="preserve">Известия </w:t>
      </w:r>
    </w:p>
    <w:p w14:paraId="726AC037" w14:textId="77777777" w:rsidR="00252D67" w:rsidRPr="00E87EAE" w:rsidRDefault="00C1028C" w:rsidP="00252D67">
      <w:pPr>
        <w:pStyle w:val="a9"/>
      </w:pPr>
      <w:hyperlink r:id="rId13" w:history="1">
        <w:r w:rsidR="00252D67" w:rsidRPr="00E87EAE">
          <w:t>В ПОДМОСКОВЬЕ ВЫРОСЛИ НАДОИ МОЛОКА</w:t>
        </w:r>
      </w:hyperlink>
    </w:p>
    <w:p w14:paraId="045D0558" w14:textId="507C470F" w:rsidR="00252D67" w:rsidRDefault="00252D67" w:rsidP="00252D67">
      <w:r>
        <w:t>С начала 2021 надои молока в Подмосковье увеличились почти на 5% по сравнению с аналогичным периодом предыдущего года. Об этом сообщили в министерстве сельского хозяйства и продовольствия Московской области.</w:t>
      </w:r>
    </w:p>
    <w:p w14:paraId="7FA2A681" w14:textId="4ABEED94" w:rsidR="00252D67" w:rsidRDefault="00252D67" w:rsidP="00252D67">
      <w:r>
        <w:t>Так</w:t>
      </w:r>
      <w:r w:rsidR="00E75987">
        <w:t>,</w:t>
      </w:r>
      <w:r>
        <w:t xml:space="preserve"> за первые 15 недель 2021 года надой в сельхозпредприятиях региона составил 187 тыс. тонн молока. За аналогичный период 2020 года этот показатель составляет 178 тыс. тонн.</w:t>
      </w:r>
    </w:p>
    <w:p w14:paraId="1DDAA325" w14:textId="2FF61D45" w:rsidR="00252D67" w:rsidRDefault="00E75987" w:rsidP="00252D67">
      <w:pPr>
        <w:rPr>
          <w:i/>
        </w:rPr>
      </w:pPr>
      <w:r>
        <w:t>«</w:t>
      </w:r>
      <w:r w:rsidR="00252D67">
        <w:t>Общий рост поголовья КРС с начала года также увеличился на 1 893 головы и составил 87 492 головы. Прирост относительно прошлого года составил 6,1%</w:t>
      </w:r>
      <w:r>
        <w:t>»</w:t>
      </w:r>
      <w:r w:rsidR="00252D67">
        <w:t xml:space="preserve">, - заявил глава регионального </w:t>
      </w:r>
      <w:proofErr w:type="spellStart"/>
      <w:r w:rsidR="00252D67">
        <w:t>минсельхоза</w:t>
      </w:r>
      <w:proofErr w:type="spellEnd"/>
      <w:r w:rsidR="00252D67">
        <w:t xml:space="preserve"> Сергей Воскресенский. </w:t>
      </w:r>
      <w:r w:rsidR="00252D67" w:rsidRPr="00E265A0">
        <w:rPr>
          <w:i/>
        </w:rPr>
        <w:t xml:space="preserve">ИА </w:t>
      </w:r>
      <w:proofErr w:type="spellStart"/>
      <w:r w:rsidR="00252D67" w:rsidRPr="00E265A0">
        <w:rPr>
          <w:i/>
        </w:rPr>
        <w:t>Regnum</w:t>
      </w:r>
      <w:proofErr w:type="spellEnd"/>
    </w:p>
    <w:p w14:paraId="64BB0827" w14:textId="77777777" w:rsidR="00C8396B" w:rsidRDefault="00F62502">
      <w:pPr>
        <w:pStyle w:val="a8"/>
        <w:spacing w:before="240"/>
        <w:outlineLvl w:val="0"/>
      </w:pPr>
      <w:bookmarkStart w:id="12" w:name="SEC_6"/>
      <w:bookmarkEnd w:id="10"/>
      <w:r>
        <w:t>Новости экономики и власти</w:t>
      </w:r>
    </w:p>
    <w:p w14:paraId="01862533" w14:textId="77777777" w:rsidR="00E75987" w:rsidRPr="00E87EAE" w:rsidRDefault="00C1028C" w:rsidP="00E75987">
      <w:pPr>
        <w:pStyle w:val="a9"/>
      </w:pPr>
      <w:hyperlink r:id="rId14" w:history="1">
        <w:r w:rsidR="00E75987" w:rsidRPr="00E87EAE">
          <w:t>МЭР ОЖИДАЕТ ИНФЛЯЦИЮ ПО ИТОГАМ 2021 ГОДА НА УРОВНЕ 4,3%</w:t>
        </w:r>
      </w:hyperlink>
    </w:p>
    <w:p w14:paraId="124DD2BF" w14:textId="77777777" w:rsidR="00E75987" w:rsidRDefault="00E75987" w:rsidP="00E75987">
      <w:r>
        <w:t xml:space="preserve">Минэкономразвития прогнозирует инфляцию в России на конец 2021 года на уровне 4,3%, с 2022 года ожидается ее возвращение на целевой уровень в 4%, следует из обновленного прогноза социально-экономического развития. </w:t>
      </w:r>
    </w:p>
    <w:p w14:paraId="4E9AAC39" w14:textId="77777777" w:rsidR="00E75987" w:rsidRDefault="00E75987" w:rsidP="00E75987">
      <w:r>
        <w:t>В сентябрьском (2020 год) прогнозе министерство ожидало, что инфляция в 2021 году составит 3,7%, в 2022-2023 гг. - 4%.</w:t>
      </w:r>
    </w:p>
    <w:p w14:paraId="1ECDECF3" w14:textId="44851ECF" w:rsidR="00E75987" w:rsidRDefault="00E75987" w:rsidP="00E75987">
      <w:pPr>
        <w:rPr>
          <w:i/>
        </w:rPr>
      </w:pPr>
      <w:r>
        <w:t xml:space="preserve">«Мы оцениваем эффект от принятых мер по сдерживанию роста цен в размере 0,3 процентного пункта. Иными словами, если бы этих мер не было, по пшенице в первую очередь и по подсолнечному маслу, сахару, инфляция была бы по итогам 2021 года не 4,3%, а 4,6%», - отметил источник в министерстве. </w:t>
      </w:r>
      <w:r w:rsidRPr="008B604B">
        <w:rPr>
          <w:i/>
        </w:rPr>
        <w:t>ТАСС, MilkNews.ru</w:t>
      </w:r>
    </w:p>
    <w:p w14:paraId="4D4835E4" w14:textId="3C851363" w:rsidR="002364C8" w:rsidRPr="002364C8" w:rsidRDefault="00C1028C" w:rsidP="002364C8">
      <w:pPr>
        <w:pStyle w:val="a9"/>
      </w:pPr>
      <w:hyperlink r:id="rId15" w:history="1">
        <w:r w:rsidR="002364C8" w:rsidRPr="002364C8">
          <w:t>МИНФИН РАСКРЫЛ ОБЪЕМ РЕСТРУКТУРИЗАЦИИ КОММЕРЧЕСКОГО ДОЛГА РЕГИОНОВ</w:t>
        </w:r>
      </w:hyperlink>
    </w:p>
    <w:p w14:paraId="01265A73" w14:textId="77777777" w:rsidR="002364C8" w:rsidRDefault="002364C8" w:rsidP="002364C8">
      <w:r>
        <w:t>Общий объем финансовой поддержки, выделяемой в соответствии с инициативой президента Владимира Путина регионам, имеющим значительную задолженность по рыночным заимствованиям, составит до 176 млрд руб. Об этом объявило Министерство финансов.</w:t>
      </w:r>
    </w:p>
    <w:p w14:paraId="37688D06" w14:textId="6EDAA17E" w:rsidR="002364C8" w:rsidRDefault="00E75987" w:rsidP="002364C8">
      <w:r>
        <w:t>«</w:t>
      </w:r>
      <w:r w:rsidR="002364C8">
        <w:t>Предоставление новых бюджетных кредитов планируется на срок до 2029 года включительно, с условием проведения регионами ответственной долговой политики</w:t>
      </w:r>
      <w:r>
        <w:t>»</w:t>
      </w:r>
      <w:r w:rsidR="002364C8">
        <w:t>, - говорится в сообщении ведомства.</w:t>
      </w:r>
    </w:p>
    <w:p w14:paraId="40F6EF34" w14:textId="2391B76B" w:rsidR="002364C8" w:rsidRPr="00570A97" w:rsidRDefault="002364C8" w:rsidP="002364C8">
      <w:pPr>
        <w:rPr>
          <w:i/>
        </w:rPr>
      </w:pPr>
      <w:r>
        <w:t xml:space="preserve">В Минфине пояснили, что сокращение - за счет вновь выделенных казной средств - доли коммерческого долга регионов до 25% объема их налоговых и неналоговых доходов позволит тем сократить расходы по обслуживанию своих долгов более чем на 20 млрд. руб. в год. </w:t>
      </w:r>
      <w:r w:rsidRPr="00570A97">
        <w:rPr>
          <w:i/>
        </w:rPr>
        <w:t>РБК</w:t>
      </w:r>
    </w:p>
    <w:p w14:paraId="5C4382E4" w14:textId="77777777" w:rsidR="002364C8" w:rsidRPr="002364C8" w:rsidRDefault="00C1028C" w:rsidP="002364C8">
      <w:pPr>
        <w:pStyle w:val="a9"/>
      </w:pPr>
      <w:hyperlink r:id="rId16" w:history="1">
        <w:r w:rsidR="002364C8" w:rsidRPr="002364C8">
          <w:t>РУБЛЬ ВЕЧЕРОМ ПРОДОЛЖИЛ УВЕРЕННО РАСТИ НА ОСЛАБЛЕНИИ РИСКОВ ВОЕННОЙ ЭСКАЛАЦИИ</w:t>
        </w:r>
      </w:hyperlink>
    </w:p>
    <w:p w14:paraId="25015F56" w14:textId="77777777" w:rsidR="002364C8" w:rsidRDefault="002364C8" w:rsidP="002364C8">
      <w:r>
        <w:t xml:space="preserve">Доллар и евро обвалились на Московской бирже в четверг вечером; рубль взлетел к </w:t>
      </w:r>
      <w:proofErr w:type="spellStart"/>
      <w:r>
        <w:t>бивалютной</w:t>
      </w:r>
      <w:proofErr w:type="spellEnd"/>
      <w:r>
        <w:t xml:space="preserve"> корзине благодаря ослаблению рисков эскалации военной напряженности вблизи российских границ после того, как министр обороны России Сергей Шойгу заявил о завершении военных учений, состоявшихся в ходе проверок в Южном и Западном военных округах (ЮВО и ЗВО).</w:t>
      </w:r>
    </w:p>
    <w:p w14:paraId="2BC33C9E" w14:textId="42614C0E" w:rsidR="00E75987" w:rsidRPr="00E75987" w:rsidRDefault="002364C8" w:rsidP="002364C8">
      <w:r>
        <w:t xml:space="preserve">Курс доллара США составил 75,54 руб./$1 в 19:00 по Москве, что на 1,07 рубля ниже уровня закрытия предыдущих торгов. Евро стоил 90,74 руб./EUR1, подешевев на 1,45 рубля. Стоимость </w:t>
      </w:r>
      <w:proofErr w:type="spellStart"/>
      <w:r>
        <w:t>бивалютной</w:t>
      </w:r>
      <w:proofErr w:type="spellEnd"/>
      <w:r>
        <w:t xml:space="preserve"> корзины ($0,55 и EUR0,45) уменьшилась на 1,24 рубля - до 82,38 рубля.</w:t>
      </w:r>
      <w:r w:rsidR="00E75987">
        <w:t xml:space="preserve"> </w:t>
      </w:r>
      <w:r w:rsidRPr="00570A97">
        <w:rPr>
          <w:i/>
        </w:rPr>
        <w:t>Интерфакс</w:t>
      </w:r>
    </w:p>
    <w:p w14:paraId="46492B09" w14:textId="1D3D4748" w:rsidR="00E75987" w:rsidRPr="002364C8" w:rsidRDefault="00C1028C" w:rsidP="00E75987">
      <w:pPr>
        <w:pStyle w:val="a9"/>
      </w:pPr>
      <w:hyperlink r:id="rId17" w:history="1">
        <w:r w:rsidR="00E66A53">
          <w:t xml:space="preserve">ОПРЕДЕЛЕНЫ ЛИДЕРЫ </w:t>
        </w:r>
        <w:r w:rsidR="00E75987" w:rsidRPr="002364C8">
          <w:t>ПО КОНКУРЕНТНЫМ ГОСЗАКУПКАМ</w:t>
        </w:r>
      </w:hyperlink>
    </w:p>
    <w:p w14:paraId="5E17E2FE" w14:textId="4F30D0EA" w:rsidR="00C8396B" w:rsidRDefault="00E75987" w:rsidP="00153131">
      <w:r>
        <w:t xml:space="preserve">Среди федеральных органов исполнительной власти лидерами по показателю «количество конкурентных закупок» стали </w:t>
      </w:r>
      <w:proofErr w:type="spellStart"/>
      <w:r>
        <w:t>Минобрнауки</w:t>
      </w:r>
      <w:proofErr w:type="spellEnd"/>
      <w:r>
        <w:t xml:space="preserve"> (100 пунктов), </w:t>
      </w:r>
      <w:proofErr w:type="spellStart"/>
      <w:r>
        <w:t>Росимущество</w:t>
      </w:r>
      <w:proofErr w:type="spellEnd"/>
      <w:r>
        <w:t xml:space="preserve"> (78,75 пунктов), Росздравнадзор (67,83 пункта), </w:t>
      </w:r>
      <w:proofErr w:type="spellStart"/>
      <w:r>
        <w:t>Росрезерв</w:t>
      </w:r>
      <w:proofErr w:type="spellEnd"/>
      <w:r>
        <w:t xml:space="preserve"> (67,77 пункта), а также </w:t>
      </w:r>
      <w:proofErr w:type="spellStart"/>
      <w:r w:rsidRPr="002364C8">
        <w:rPr>
          <w:b/>
        </w:rPr>
        <w:t>Росрыболовство</w:t>
      </w:r>
      <w:proofErr w:type="spellEnd"/>
      <w:r>
        <w:t xml:space="preserve"> (66,21 пункта). Среди ФОИВ по суммам конкурентных закупок стали ФСО (100 пунктов), </w:t>
      </w:r>
      <w:proofErr w:type="spellStart"/>
      <w:r w:rsidRPr="002364C8">
        <w:rPr>
          <w:b/>
        </w:rPr>
        <w:t>Росрыболовство</w:t>
      </w:r>
      <w:proofErr w:type="spellEnd"/>
      <w:r>
        <w:t xml:space="preserve"> (63,92 пункта), ФТС (58,2 пункта), а также Минюст (52,58 пунктов) и </w:t>
      </w:r>
      <w:proofErr w:type="spellStart"/>
      <w:r>
        <w:t>Ростехнадзор</w:t>
      </w:r>
      <w:proofErr w:type="spellEnd"/>
      <w:r>
        <w:t xml:space="preserve"> (51,52 пункта). </w:t>
      </w:r>
      <w:r w:rsidR="00E66A53">
        <w:t xml:space="preserve">Об этом сообщил портал «Госрасходы», запущенный Счетной палатой РФ. </w:t>
      </w:r>
      <w:r w:rsidRPr="009B15E2">
        <w:rPr>
          <w:i/>
        </w:rPr>
        <w:t>ТАСС</w:t>
      </w:r>
      <w:bookmarkEnd w:id="12"/>
    </w:p>
    <w:sectPr w:rsidR="00C8396B" w:rsidSect="005F3758">
      <w:headerReference w:type="default" r:id="rId18"/>
      <w:footerReference w:type="default" r:id="rId19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982E5" w14:textId="77777777" w:rsidR="00C1028C" w:rsidRDefault="00C1028C">
      <w:r>
        <w:separator/>
      </w:r>
    </w:p>
  </w:endnote>
  <w:endnote w:type="continuationSeparator" w:id="0">
    <w:p w14:paraId="1226D5D8" w14:textId="77777777" w:rsidR="00C1028C" w:rsidRDefault="00C1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4A79DC6C" w14:textId="77777777">
      <w:tc>
        <w:tcPr>
          <w:tcW w:w="9648" w:type="dxa"/>
          <w:shd w:val="clear" w:color="auto" w:fill="E6E7EA"/>
          <w:vAlign w:val="center"/>
        </w:tcPr>
        <w:p w14:paraId="10CB1E83" w14:textId="77777777" w:rsidR="00C8396B" w:rsidRDefault="00F62502" w:rsidP="006464CF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6464CF">
            <w:rPr>
              <w:rFonts w:cs="Arial"/>
              <w:color w:val="90989E"/>
              <w:sz w:val="16"/>
              <w:szCs w:val="16"/>
            </w:rPr>
            <w:t>23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9B4B1F">
            <w:rPr>
              <w:rFonts w:cs="Arial"/>
              <w:color w:val="90989E"/>
              <w:sz w:val="16"/>
              <w:szCs w:val="16"/>
            </w:rPr>
            <w:t>апреля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6464CF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5B5E4495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53131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00A0256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7A8F86D4" w14:textId="77777777">
      <w:tc>
        <w:tcPr>
          <w:tcW w:w="9648" w:type="dxa"/>
          <w:shd w:val="clear" w:color="auto" w:fill="E6E7EA"/>
          <w:vAlign w:val="center"/>
        </w:tcPr>
        <w:p w14:paraId="0269AC56" w14:textId="77777777" w:rsidR="00C8396B" w:rsidRDefault="00F62502" w:rsidP="006464CF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6464CF">
            <w:rPr>
              <w:rFonts w:cs="Arial"/>
              <w:color w:val="90989E"/>
              <w:sz w:val="16"/>
              <w:szCs w:val="16"/>
            </w:rPr>
            <w:t>23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9B4B1F">
            <w:rPr>
              <w:rFonts w:cs="Arial"/>
              <w:color w:val="90989E"/>
              <w:sz w:val="16"/>
              <w:szCs w:val="16"/>
            </w:rPr>
            <w:t>апреля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6464CF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2B0504A2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53131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6F346AE6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39E5D" w14:textId="77777777" w:rsidR="00C1028C" w:rsidRDefault="00C1028C">
      <w:r>
        <w:separator/>
      </w:r>
    </w:p>
  </w:footnote>
  <w:footnote w:type="continuationSeparator" w:id="0">
    <w:p w14:paraId="04A77A93" w14:textId="77777777" w:rsidR="00C1028C" w:rsidRDefault="00C10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D0954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254B550F" wp14:editId="560AEF59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64C8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8D0D6F" wp14:editId="4A494EF0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CA99ADC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124BAF70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7C961FF2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13670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79663183" wp14:editId="6086771C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64C8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944537" wp14:editId="503012DD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42809A1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084250DD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7324F098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C8"/>
    <w:rsid w:val="0003491F"/>
    <w:rsid w:val="00066C93"/>
    <w:rsid w:val="00153131"/>
    <w:rsid w:val="00195925"/>
    <w:rsid w:val="001B212B"/>
    <w:rsid w:val="001F4913"/>
    <w:rsid w:val="002364C8"/>
    <w:rsid w:val="00252D67"/>
    <w:rsid w:val="00270257"/>
    <w:rsid w:val="002E5101"/>
    <w:rsid w:val="003058E2"/>
    <w:rsid w:val="003820D0"/>
    <w:rsid w:val="003C3C67"/>
    <w:rsid w:val="004104FB"/>
    <w:rsid w:val="004304C8"/>
    <w:rsid w:val="005233A0"/>
    <w:rsid w:val="005240C2"/>
    <w:rsid w:val="00541A31"/>
    <w:rsid w:val="005D00D8"/>
    <w:rsid w:val="005F3758"/>
    <w:rsid w:val="00604F1E"/>
    <w:rsid w:val="006464CF"/>
    <w:rsid w:val="0066606C"/>
    <w:rsid w:val="0074571A"/>
    <w:rsid w:val="00750476"/>
    <w:rsid w:val="007910D0"/>
    <w:rsid w:val="007F0AB1"/>
    <w:rsid w:val="00880679"/>
    <w:rsid w:val="008E1758"/>
    <w:rsid w:val="0094769A"/>
    <w:rsid w:val="00985DA8"/>
    <w:rsid w:val="009B4B1F"/>
    <w:rsid w:val="00A12D82"/>
    <w:rsid w:val="00A468D9"/>
    <w:rsid w:val="00B230AE"/>
    <w:rsid w:val="00B922A1"/>
    <w:rsid w:val="00BA1B44"/>
    <w:rsid w:val="00BB4F2F"/>
    <w:rsid w:val="00BC4068"/>
    <w:rsid w:val="00C1028C"/>
    <w:rsid w:val="00C14B74"/>
    <w:rsid w:val="00C14EA4"/>
    <w:rsid w:val="00C8396B"/>
    <w:rsid w:val="00C87324"/>
    <w:rsid w:val="00C90FBF"/>
    <w:rsid w:val="00CD2DDE"/>
    <w:rsid w:val="00CD5A45"/>
    <w:rsid w:val="00D52CCC"/>
    <w:rsid w:val="00DB195E"/>
    <w:rsid w:val="00E12208"/>
    <w:rsid w:val="00E4368A"/>
    <w:rsid w:val="00E66A53"/>
    <w:rsid w:val="00E75987"/>
    <w:rsid w:val="00EA7B65"/>
    <w:rsid w:val="00F62502"/>
    <w:rsid w:val="00F65057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71CB"/>
  <w15:docId w15:val="{2989B501-3F04-426B-8231-3AE43EE0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53131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31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gnum.ru/news/3250458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iz.ru/1155191/2021-04-22/proizvodstvo-moloka-vyroslo-v-sakhalinskoi-oblasti" TargetMode="External"/><Relationship Id="rId17" Type="http://schemas.openxmlformats.org/officeDocument/2006/relationships/hyperlink" Target="https://tass.ru/ekonomika/112239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terfax.ru/business/76279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tr-online.ru/news/v-lenoblasti-nachalsya-lov-koryushki-17661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bc.ru/economics/22/04/2021/608166709a7947a1a4573ba6" TargetMode="External"/><Relationship Id="rId10" Type="http://schemas.openxmlformats.org/officeDocument/2006/relationships/hyperlink" Target="https://tass.ru/sibir-news/11217427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g.ru/2021/04/22/v-rossiiu-dopustiat-importnyj-sahar.html" TargetMode="External"/><Relationship Id="rId14" Type="http://schemas.openxmlformats.org/officeDocument/2006/relationships/hyperlink" Target="https://tass.ru/ekonomika/1121476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64</TotalTime>
  <Pages>6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12</cp:revision>
  <cp:lastPrinted>2021-04-23T09:06:00Z</cp:lastPrinted>
  <dcterms:created xsi:type="dcterms:W3CDTF">2021-04-23T04:25:00Z</dcterms:created>
  <dcterms:modified xsi:type="dcterms:W3CDTF">2021-04-23T09:07:00Z</dcterms:modified>
</cp:coreProperties>
</file>