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AE046F">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25</w:t>
      </w:r>
      <w:r w:rsidR="00F62502">
        <w:rPr>
          <w:rFonts w:ascii="Times New Roman" w:hAnsi="Times New Roman"/>
          <w:b/>
          <w:color w:val="008B53"/>
          <w:sz w:val="40"/>
          <w:szCs w:val="72"/>
          <w:lang w:eastAsia="en-US"/>
        </w:rPr>
        <w:t>.</w:t>
      </w:r>
      <w:r w:rsidR="00D52CCC">
        <w:rPr>
          <w:rFonts w:ascii="Times New Roman" w:hAnsi="Times New Roman"/>
          <w:b/>
          <w:color w:val="008B53"/>
          <w:sz w:val="40"/>
          <w:szCs w:val="72"/>
          <w:lang w:eastAsia="en-US"/>
        </w:rPr>
        <w:t>11</w:t>
      </w:r>
      <w:r w:rsidR="00F62502">
        <w:rPr>
          <w:rFonts w:ascii="Times New Roman" w:hAnsi="Times New Roman"/>
          <w:b/>
          <w:color w:val="008B53"/>
          <w:sz w:val="40"/>
          <w:szCs w:val="72"/>
          <w:lang w:eastAsia="en-US"/>
        </w:rPr>
        <w:t>.20</w:t>
      </w:r>
      <w:r w:rsidR="00985DA8">
        <w:rPr>
          <w:rFonts w:ascii="Times New Roman" w:hAnsi="Times New Roman"/>
          <w:b/>
          <w:color w:val="008B53"/>
          <w:sz w:val="40"/>
          <w:szCs w:val="72"/>
          <w:lang w:eastAsia="en-US"/>
        </w:rPr>
        <w:t>20</w:t>
      </w:r>
      <w:r>
        <w:rPr>
          <w:rFonts w:ascii="Times New Roman" w:hAnsi="Times New Roman"/>
          <w:b/>
          <w:color w:val="008B53"/>
          <w:sz w:val="40"/>
          <w:szCs w:val="72"/>
          <w:lang w:eastAsia="en-US"/>
        </w:rPr>
        <w:t xml:space="preserve"> – 07:00 26</w:t>
      </w:r>
      <w:r w:rsidR="00F62502">
        <w:rPr>
          <w:rFonts w:ascii="Times New Roman" w:hAnsi="Times New Roman"/>
          <w:b/>
          <w:color w:val="008B53"/>
          <w:sz w:val="40"/>
          <w:szCs w:val="72"/>
          <w:lang w:eastAsia="en-US"/>
        </w:rPr>
        <w:t>.</w:t>
      </w:r>
      <w:r w:rsidR="00E4368A" w:rsidRPr="00D52CCC">
        <w:rPr>
          <w:rFonts w:ascii="Times New Roman" w:hAnsi="Times New Roman"/>
          <w:b/>
          <w:color w:val="008B53"/>
          <w:sz w:val="40"/>
          <w:szCs w:val="72"/>
          <w:lang w:eastAsia="en-US"/>
        </w:rPr>
        <w:t>1</w:t>
      </w:r>
      <w:r w:rsidR="00D52CCC" w:rsidRPr="00BC417C">
        <w:rPr>
          <w:rFonts w:ascii="Times New Roman" w:hAnsi="Times New Roman"/>
          <w:b/>
          <w:color w:val="008B53"/>
          <w:sz w:val="40"/>
          <w:szCs w:val="72"/>
          <w:lang w:eastAsia="en-US"/>
        </w:rPr>
        <w:t>1</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20</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AE046F" w:rsidP="00D52CCC">
            <w:pPr>
              <w:spacing w:before="120" w:after="120"/>
              <w:jc w:val="right"/>
              <w:rPr>
                <w:rFonts w:cs="Arial"/>
                <w:color w:val="FFFFFF"/>
                <w:sz w:val="28"/>
                <w:szCs w:val="28"/>
              </w:rPr>
            </w:pPr>
            <w:r>
              <w:rPr>
                <w:rFonts w:cs="Arial"/>
                <w:color w:val="FFFFFF"/>
                <w:sz w:val="28"/>
                <w:szCs w:val="28"/>
              </w:rPr>
              <w:t>26</w:t>
            </w:r>
            <w:r w:rsidR="00F62502">
              <w:rPr>
                <w:rFonts w:cs="Arial"/>
                <w:color w:val="FFFFFF"/>
                <w:sz w:val="28"/>
                <w:szCs w:val="28"/>
              </w:rPr>
              <w:t xml:space="preserve"> </w:t>
            </w:r>
            <w:r w:rsidR="00D52CCC">
              <w:rPr>
                <w:rFonts w:cs="Arial"/>
                <w:color w:val="FFFFFF"/>
                <w:sz w:val="28"/>
                <w:szCs w:val="28"/>
              </w:rPr>
              <w:t>ноября</w:t>
            </w:r>
            <w:r w:rsidR="00F62502">
              <w:rPr>
                <w:rFonts w:cs="Arial"/>
                <w:color w:val="FFFFFF"/>
                <w:sz w:val="28"/>
                <w:szCs w:val="28"/>
              </w:rPr>
              <w:t xml:space="preserve"> 20</w:t>
            </w:r>
            <w:r w:rsidR="00985DA8">
              <w:rPr>
                <w:rFonts w:cs="Arial"/>
                <w:color w:val="FFFFFF"/>
                <w:sz w:val="28"/>
                <w:szCs w:val="28"/>
              </w:rPr>
              <w:t>20</w:t>
            </w:r>
          </w:p>
        </w:tc>
      </w:tr>
      <w:tr w:rsidR="00C8396B">
        <w:trPr>
          <w:trHeight w:val="726"/>
        </w:trPr>
        <w:tc>
          <w:tcPr>
            <w:tcW w:w="2552" w:type="dxa"/>
            <w:shd w:val="clear" w:color="auto" w:fill="E6E7EA"/>
          </w:tcPr>
          <w:p w:rsidR="00C8396B" w:rsidRDefault="00C8396B">
            <w:bookmarkStart w:id="4" w:name="SEC_1"/>
          </w:p>
          <w:p w:rsidR="00BC417C" w:rsidRDefault="00F62502">
            <w:pPr>
              <w:pStyle w:val="aa"/>
              <w:jc w:val="left"/>
              <w:rPr>
                <w:kern w:val="36"/>
              </w:rPr>
            </w:pPr>
            <w:r>
              <w:rPr>
                <w:kern w:val="36"/>
              </w:rPr>
              <w:t>Анонсы</w:t>
            </w:r>
          </w:p>
          <w:p w:rsidR="002F0492" w:rsidRPr="00DB0AF4" w:rsidRDefault="001E383E" w:rsidP="001E383E">
            <w:pPr>
              <w:pStyle w:val="a9"/>
            </w:pPr>
            <w:r>
              <w:t>26 НОЯБРЯ</w:t>
            </w:r>
          </w:p>
          <w:p w:rsidR="00BC417C" w:rsidRDefault="00BC417C" w:rsidP="00BC417C">
            <w:r w:rsidRPr="00DB0AF4">
              <w:t xml:space="preserve">МОСКВА. 10:30. Круглый стол "О ходе реализации инвестиционных проектов по строительству судов рыбопромыслового флота". </w:t>
            </w:r>
          </w:p>
          <w:p w:rsidR="00B37747" w:rsidRPr="00DB0AF4" w:rsidRDefault="00B37747" w:rsidP="00BC417C"/>
          <w:p w:rsidR="00BC417C" w:rsidRDefault="00BC417C" w:rsidP="00BC417C">
            <w:r w:rsidRPr="00DB0AF4">
              <w:t xml:space="preserve">МОСКВА. 11:00. Онлайн-конференция, посвященная итогам всероссийского национального проекта "Винный гид России". </w:t>
            </w:r>
          </w:p>
          <w:p w:rsidR="00B37747" w:rsidRPr="00DB0AF4" w:rsidRDefault="00B37747" w:rsidP="00BC417C"/>
          <w:p w:rsidR="00C8396B" w:rsidRDefault="00BC417C" w:rsidP="00BC417C">
            <w:r w:rsidRPr="00DB0AF4">
              <w:t xml:space="preserve">МОСКВА. 15:00. Торжественная церемония открытия информационной системы для российских экспортеров "Одно окно" Российского экспортного центра. </w:t>
            </w:r>
          </w:p>
          <w:p w:rsidR="00B518AD" w:rsidRDefault="00B518AD" w:rsidP="00BC417C"/>
          <w:p w:rsidR="00B518AD" w:rsidRPr="00BC417C" w:rsidRDefault="00B518AD" w:rsidP="00BC417C">
            <w:r>
              <w:t xml:space="preserve">МОСКВА. </w:t>
            </w:r>
            <w:r w:rsidR="008D21F0">
              <w:t xml:space="preserve">16:30. </w:t>
            </w:r>
            <w:r w:rsidRPr="00B518AD">
              <w:t>Ген</w:t>
            </w:r>
            <w:r>
              <w:t>еральная</w:t>
            </w:r>
            <w:r w:rsidRPr="00B518AD">
              <w:t xml:space="preserve"> Ассамблея Международной организации по виноградарству и виноделию.</w:t>
            </w:r>
          </w:p>
          <w:bookmarkEnd w:id="4"/>
          <w:p w:rsidR="00C8396B" w:rsidRDefault="00C8396B" w:rsidP="00BC417C">
            <w:pPr>
              <w:jc w:val="left"/>
            </w:pPr>
          </w:p>
        </w:tc>
        <w:tc>
          <w:tcPr>
            <w:tcW w:w="283" w:type="dxa"/>
          </w:tcPr>
          <w:p w:rsidR="00C8396B" w:rsidRDefault="00C8396B">
            <w:pPr>
              <w:rPr>
                <w:rFonts w:cs="Arial"/>
                <w:sz w:val="20"/>
                <w:szCs w:val="20"/>
              </w:rPr>
            </w:pPr>
          </w:p>
        </w:tc>
        <w:tc>
          <w:tcPr>
            <w:tcW w:w="7245" w:type="dxa"/>
            <w:gridSpan w:val="2"/>
          </w:tcPr>
          <w:p w:rsidR="00BC417C" w:rsidRDefault="00E35466">
            <w:pPr>
              <w:pStyle w:val="a8"/>
              <w:pageBreakBefore/>
              <w:outlineLvl w:val="0"/>
            </w:pPr>
            <w:bookmarkStart w:id="5" w:name="SEC_4"/>
            <w:r>
              <w:t>М</w:t>
            </w:r>
            <w:r w:rsidR="00F62502">
              <w:t>инистерство</w:t>
            </w:r>
          </w:p>
          <w:bookmarkEnd w:id="5"/>
          <w:p w:rsidR="00C8396B" w:rsidRDefault="00C8396B" w:rsidP="008D21F0"/>
          <w:p w:rsidR="008D21F0" w:rsidRPr="00BC417C" w:rsidRDefault="00C5555A" w:rsidP="008D21F0">
            <w:pPr>
              <w:pStyle w:val="a9"/>
              <w:spacing w:before="0" w:line="0" w:lineRule="atLeast"/>
            </w:pPr>
            <w:hyperlink r:id="rId7" w:history="1">
              <w:r w:rsidR="008D21F0" w:rsidRPr="00BC417C">
                <w:t>В МИНСЕЛЬХОЗЕ ОБСУДИЛИ ВОПРОСЫ МОДЕРНИЗАЦИИ ПАРКА СЕЛЬХОЗТЕХНИКИ В РЕСПУБЛИКЕ БУРЯТИЯ</w:t>
              </w:r>
            </w:hyperlink>
          </w:p>
          <w:p w:rsidR="008D21F0" w:rsidRDefault="008D21F0" w:rsidP="008D21F0">
            <w:r>
              <w:t xml:space="preserve">Первый заместитель Министра сельского хозяйства </w:t>
            </w:r>
            <w:proofErr w:type="spellStart"/>
            <w:r w:rsidRPr="00BC417C">
              <w:rPr>
                <w:b/>
              </w:rPr>
              <w:t>Джамбулат</w:t>
            </w:r>
            <w:proofErr w:type="spellEnd"/>
            <w:r w:rsidRPr="00BC417C">
              <w:rPr>
                <w:b/>
              </w:rPr>
              <w:t xml:space="preserve"> </w:t>
            </w:r>
            <w:proofErr w:type="spellStart"/>
            <w:r w:rsidRPr="00BC417C">
              <w:rPr>
                <w:b/>
              </w:rPr>
              <w:t>Хатуов</w:t>
            </w:r>
            <w:proofErr w:type="spellEnd"/>
            <w:r>
              <w:t xml:space="preserve"> провел "Час контроля", посвященный темпам обновления парка техники в Республике Бурятия. </w:t>
            </w:r>
          </w:p>
          <w:p w:rsidR="008D21F0" w:rsidRDefault="008D21F0" w:rsidP="008D21F0">
            <w:r>
              <w:t xml:space="preserve">Одной из стратегических задач АПК республики является ввод в оборот 230 тыс. га неиспользуемой пашни к 2025 году. Выполнение данного показателя зависит от темпов технической модернизации отрасли. По информации региона, по состоянию на 1 ноября у аграриев насчитывалось 1,7 тыс. тракторов, 355 зерноуборочных и 75 кормоуборочных комбайнов. На 20 ноября </w:t>
            </w:r>
            <w:proofErr w:type="spellStart"/>
            <w:r>
              <w:t>сельхозтоваропроизводителями</w:t>
            </w:r>
            <w:proofErr w:type="spellEnd"/>
            <w:r>
              <w:t xml:space="preserve"> приобретено 30 тракторов и 8 комбайнов. </w:t>
            </w:r>
          </w:p>
          <w:p w:rsidR="008D21F0" w:rsidRDefault="008D21F0" w:rsidP="008D21F0">
            <w:pPr>
              <w:rPr>
                <w:i/>
              </w:rPr>
            </w:pPr>
            <w:r w:rsidRPr="000A2F6C">
              <w:rPr>
                <w:iCs/>
              </w:rPr>
              <w:t>На совещании было отмечено, что обновлению парка сельхозтехники способствует господдержка, в том числе субсидии её производителям.</w:t>
            </w:r>
            <w:r>
              <w:rPr>
                <w:i/>
              </w:rPr>
              <w:t xml:space="preserve"> </w:t>
            </w:r>
            <w:r w:rsidRPr="00A70B80">
              <w:rPr>
                <w:i/>
              </w:rPr>
              <w:t>Крестьянские Ведомости</w:t>
            </w:r>
          </w:p>
          <w:p w:rsidR="008D21F0" w:rsidRDefault="008D21F0" w:rsidP="008D21F0"/>
          <w:p w:rsidR="008D21F0" w:rsidRPr="00903E89" w:rsidRDefault="008D21F0" w:rsidP="008D21F0">
            <w:pPr>
              <w:rPr>
                <w:b/>
                <w:bCs/>
              </w:rPr>
            </w:pPr>
            <w:r w:rsidRPr="00903E89">
              <w:rPr>
                <w:b/>
                <w:bCs/>
              </w:rPr>
              <w:t>РФ ЗА 10 МЕСЯЦЕВ УВЕЛИЧИЛА ПРОИЗВОДСТВО ПИТЬЕВОЙ ВОДЫ НА 3%, ДО 6,5 МЛРД ЛИТРОВ - МИНСЕЛЬХОЗ</w:t>
            </w:r>
          </w:p>
          <w:p w:rsidR="008D21F0" w:rsidRDefault="008D21F0" w:rsidP="008D21F0">
            <w:r>
              <w:t xml:space="preserve">Россия за 10 месяцев этого года произвела 6,5 млрд литров питьевой воды, что на 3% больше, чем годом ранее, сообщила замминистра сельского хозяйства </w:t>
            </w:r>
            <w:r w:rsidRPr="00903E89">
              <w:rPr>
                <w:b/>
                <w:bCs/>
              </w:rPr>
              <w:t xml:space="preserve">Оксана </w:t>
            </w:r>
            <w:proofErr w:type="spellStart"/>
            <w:r w:rsidRPr="00903E89">
              <w:rPr>
                <w:b/>
                <w:bCs/>
              </w:rPr>
              <w:t>Лут</w:t>
            </w:r>
            <w:proofErr w:type="spellEnd"/>
            <w:r>
              <w:t xml:space="preserve"> на парламентских слушаниях "О мерах по противодействию незаконному обороту упакованной питьевой воды, включая природную минеральную воду" в Совете Федерации.</w:t>
            </w:r>
          </w:p>
          <w:p w:rsidR="008D21F0" w:rsidRDefault="008D21F0" w:rsidP="008D21F0">
            <w:r>
              <w:t xml:space="preserve">"Основной вопрос, который сейчас волнует всех участников рынка - это дисбаланс между тем объемом воды, который добывается из скважин, и тем объемом воды, который производится в упакованном виде. Соответственно, необходимы механизмы, чтобы составить баланс и состыковать эти две величины", - сказала </w:t>
            </w:r>
            <w:proofErr w:type="spellStart"/>
            <w:r w:rsidRPr="00BC417C">
              <w:rPr>
                <w:b/>
              </w:rPr>
              <w:t>Лут</w:t>
            </w:r>
            <w:proofErr w:type="spellEnd"/>
            <w:r>
              <w:t xml:space="preserve">. </w:t>
            </w:r>
          </w:p>
          <w:p w:rsidR="008D21F0" w:rsidRPr="008D21F0" w:rsidRDefault="008D21F0" w:rsidP="008D21F0">
            <w:pPr>
              <w:rPr>
                <w:i/>
                <w:iCs/>
              </w:rPr>
            </w:pPr>
            <w:r>
              <w:t xml:space="preserve">По ее словам, у рабочей группы есть предложения для решения этой проблемы. Российская сторона готовит и предложения по гармонизации законодательства с </w:t>
            </w:r>
            <w:proofErr w:type="spellStart"/>
            <w:r>
              <w:t>техрегламентом</w:t>
            </w:r>
            <w:proofErr w:type="spellEnd"/>
            <w:r>
              <w:t xml:space="preserve"> ЕАЭС по безопасности питьевой воды. </w:t>
            </w:r>
            <w:proofErr w:type="spellStart"/>
            <w:r>
              <w:t>Техрегламент</w:t>
            </w:r>
            <w:proofErr w:type="spellEnd"/>
            <w:r>
              <w:t xml:space="preserve"> вступил в силу с 2019 года, но для отдельных положений предусмотрен переходный период. Сначала он был рассчитан до 1 июля 2021 года, но потом продлен до 31 декабря 2021 года. </w:t>
            </w:r>
            <w:r w:rsidRPr="00903E89">
              <w:rPr>
                <w:i/>
                <w:iCs/>
              </w:rPr>
              <w:t>Интерфакс,</w:t>
            </w:r>
            <w:r>
              <w:rPr>
                <w:i/>
                <w:iCs/>
              </w:rPr>
              <w:t xml:space="preserve"> Российская газета,</w:t>
            </w:r>
            <w:r w:rsidRPr="00903E89">
              <w:rPr>
                <w:i/>
                <w:iCs/>
              </w:rPr>
              <w:t xml:space="preserve"> Парламентская газета</w:t>
            </w:r>
          </w:p>
        </w:tc>
      </w:tr>
    </w:tbl>
    <w:p w:rsidR="00C8396B" w:rsidRDefault="00C8396B" w:rsidP="000A2F6C">
      <w:pPr>
        <w:spacing w:line="0" w:lineRule="atLeast"/>
        <w:jc w:val="left"/>
        <w:sectPr w:rsidR="00C8396B">
          <w:headerReference w:type="default" r:id="rId8"/>
          <w:footerReference w:type="default" r:id="rId9"/>
          <w:pgSz w:w="11906" w:h="16838"/>
          <w:pgMar w:top="1569" w:right="851" w:bottom="1258" w:left="1134" w:header="709" w:footer="501" w:gutter="0"/>
          <w:cols w:space="708"/>
          <w:docGrid w:linePitch="360"/>
        </w:sectPr>
      </w:pPr>
    </w:p>
    <w:p w:rsidR="00DF3099" w:rsidRPr="00DF3099" w:rsidRDefault="00DF3099" w:rsidP="00DF3099">
      <w:pPr>
        <w:rPr>
          <w:b/>
          <w:bCs/>
        </w:rPr>
      </w:pPr>
      <w:bookmarkStart w:id="8" w:name="SEC_3"/>
      <w:r w:rsidRPr="00DF3099">
        <w:rPr>
          <w:b/>
          <w:bCs/>
        </w:rPr>
        <w:lastRenderedPageBreak/>
        <w:t>АГРАРНЫЙ ХАРАКТЕР</w:t>
      </w:r>
    </w:p>
    <w:p w:rsidR="00DF3099" w:rsidRPr="00DF3099" w:rsidRDefault="00DF3099" w:rsidP="00DF3099">
      <w:r w:rsidRPr="00DF3099">
        <w:t>Иногда гастрономический бренд успешен не только у себя в регионе, он известен еще и за</w:t>
      </w:r>
      <w:r w:rsidR="002F0492">
        <w:t xml:space="preserve"> </w:t>
      </w:r>
      <w:r w:rsidRPr="00DF3099">
        <w:t>рубежом. Например, с тульским пряником или алтайским мёдом знакомы многие иностранцы. Экспортерам, желающим свой продукт за</w:t>
      </w:r>
      <w:r w:rsidR="002F0492">
        <w:t xml:space="preserve"> </w:t>
      </w:r>
      <w:r w:rsidRPr="00DF3099">
        <w:t xml:space="preserve">рубеж, помогает Российский экспортный центр. Есть даже специальная программа для рынков ОАЭ, Китая и Вьетнама. В этих странах размещены павильоны для презентации и дегустации, рассказывает вице-президент РЭЦ Сергей Вологодский. </w:t>
      </w:r>
    </w:p>
    <w:p w:rsidR="00DF3099" w:rsidRPr="00DF3099" w:rsidRDefault="00DF3099" w:rsidP="00DF3099">
      <w:r w:rsidRPr="00DF3099">
        <w:t xml:space="preserve">"Мы предлагаем всю инфраструктуру павильона бесплатно. Ищем потенциальных покупателей продукции, организовывая различные встречи с дилерами, дистрибьюторами, также занимаемся продвижением и маркетинговой поддержкой", - рассказал Вологодский. </w:t>
      </w:r>
    </w:p>
    <w:p w:rsidR="00DF3099" w:rsidRPr="002F0492" w:rsidRDefault="00DF3099" w:rsidP="00DF3099">
      <w:pPr>
        <w:rPr>
          <w:i/>
          <w:iCs/>
        </w:rPr>
      </w:pPr>
      <w:r w:rsidRPr="00DF3099">
        <w:t>Сейчас вице-президент РЭЦ вошёл в комиссию конкурса "Вкусы России"</w:t>
      </w:r>
      <w:r w:rsidR="002F0492">
        <w:t>,</w:t>
      </w:r>
      <w:r w:rsidRPr="00DF3099">
        <w:t xml:space="preserve"> организатором которого выступает </w:t>
      </w:r>
      <w:r w:rsidRPr="00DF3099">
        <w:rPr>
          <w:b/>
          <w:bCs/>
        </w:rPr>
        <w:t>Минсельхоз</w:t>
      </w:r>
      <w:r w:rsidRPr="00DF3099">
        <w:t>. Лучшим брендам дадут возможность показать себя за</w:t>
      </w:r>
      <w:r w:rsidR="002F0492">
        <w:t xml:space="preserve"> </w:t>
      </w:r>
      <w:r w:rsidRPr="00DF3099">
        <w:t>рубежом и предложат другую помощь.</w:t>
      </w:r>
      <w:r>
        <w:t xml:space="preserve"> </w:t>
      </w:r>
      <w:r w:rsidRPr="00DF3099">
        <w:rPr>
          <w:i/>
          <w:iCs/>
          <w:lang w:val="en-US"/>
        </w:rPr>
        <w:t>Business</w:t>
      </w:r>
      <w:r w:rsidRPr="002F0492">
        <w:rPr>
          <w:i/>
          <w:iCs/>
        </w:rPr>
        <w:t xml:space="preserve"> </w:t>
      </w:r>
      <w:r w:rsidRPr="00DF3099">
        <w:rPr>
          <w:i/>
          <w:iCs/>
          <w:lang w:val="en-US"/>
        </w:rPr>
        <w:t>FM</w:t>
      </w:r>
    </w:p>
    <w:p w:rsidR="00635EC9" w:rsidRDefault="00635EC9" w:rsidP="000A2F6C">
      <w:pPr>
        <w:rPr>
          <w:i/>
          <w:iCs/>
        </w:rPr>
      </w:pPr>
    </w:p>
    <w:p w:rsidR="000A2F6C" w:rsidRPr="000A2F6C" w:rsidRDefault="000A2F6C" w:rsidP="000A2F6C">
      <w:pPr>
        <w:rPr>
          <w:b/>
          <w:bCs/>
        </w:rPr>
      </w:pPr>
      <w:r w:rsidRPr="000A2F6C">
        <w:rPr>
          <w:b/>
          <w:bCs/>
        </w:rPr>
        <w:t>РФ В ЭТОМ ГОДУ УВЕЛИЧИТ СБОР РЖИ В 1,6 РАЗА, ДО 2,3 МЛН ТОНН, ЕЕ БУДЕТ ДОСТАТОЧНО - МИНСЕЛЬХОЗ</w:t>
      </w:r>
    </w:p>
    <w:p w:rsidR="000A2F6C" w:rsidRDefault="000A2F6C" w:rsidP="000A2F6C">
      <w:r>
        <w:t xml:space="preserve">Сбор ржи в РФ в этом году увеличится в 1,6 раза, ее будет достаточно для удовлетворения всех потребностей, сообщает </w:t>
      </w:r>
      <w:r w:rsidRPr="000A2F6C">
        <w:rPr>
          <w:b/>
          <w:bCs/>
        </w:rPr>
        <w:t>Минсельхоз</w:t>
      </w:r>
      <w:r>
        <w:t>.</w:t>
      </w:r>
    </w:p>
    <w:p w:rsidR="000A2F6C" w:rsidRDefault="000A2F6C" w:rsidP="000A2F6C">
      <w:r>
        <w:t>По данным ведомства, в 2020 году посевы ржи в стране увеличились на 17,6%, до 1 млн га против 849,9 тыс. га в 2019 году. По предварительной оценке, валовой сбор будет в 1,6 раза выше показателя прошлого года и составит 2,3 млн тонн (1,4 млн тонн в 2019 году).</w:t>
      </w:r>
    </w:p>
    <w:p w:rsidR="000A2F6C" w:rsidRDefault="000A2F6C" w:rsidP="000A2F6C">
      <w:r>
        <w:t xml:space="preserve">"Полученный урожай позволит удовлетворить существующий спрос, обеспечить сырьем предприятия переработки и сохранить стабильную ситуацию на рынке", - подчеркивает ведомство. По данным Центра оценки качества зерна, на которые ссылается </w:t>
      </w:r>
      <w:r w:rsidRPr="000A2F6C">
        <w:rPr>
          <w:b/>
          <w:bCs/>
        </w:rPr>
        <w:t>Минсельхоз</w:t>
      </w:r>
      <w:r>
        <w:t>, к 23 ноября доля ржи 1-3 классов составила 87,5%.</w:t>
      </w:r>
    </w:p>
    <w:p w:rsidR="000A2F6C" w:rsidRDefault="000A2F6C" w:rsidP="000A2F6C">
      <w:r>
        <w:t xml:space="preserve">Как отмечает </w:t>
      </w:r>
      <w:r w:rsidRPr="000A2F6C">
        <w:rPr>
          <w:b/>
          <w:bCs/>
        </w:rPr>
        <w:t>Минсельхоз</w:t>
      </w:r>
      <w:r>
        <w:t xml:space="preserve">, валовые сборы этой культуры заметно отличаются по годам в зависимости от урожайности, связанной с погодными условиями и размерами посевных площадей. За последние 5 лет (2015-2019 гг.) средний валовой сбор ржи составил 2,1 млн тонн при среднегодовой урожайности 19,2 ц/га. </w:t>
      </w:r>
      <w:r w:rsidRPr="000A2F6C">
        <w:rPr>
          <w:i/>
          <w:iCs/>
        </w:rPr>
        <w:t>Интерфакс, ТАСС, РИА Новости</w:t>
      </w:r>
    </w:p>
    <w:p w:rsidR="000A2F6C" w:rsidRDefault="000A2F6C" w:rsidP="000A2F6C"/>
    <w:p w:rsidR="000A2F6C" w:rsidRPr="000A2F6C" w:rsidRDefault="000A2F6C" w:rsidP="000A2F6C">
      <w:pPr>
        <w:rPr>
          <w:b/>
          <w:bCs/>
        </w:rPr>
      </w:pPr>
      <w:r w:rsidRPr="000A2F6C">
        <w:rPr>
          <w:b/>
          <w:bCs/>
        </w:rPr>
        <w:t>ЭКСПОРТ ПРОДУКЦИИ АПК К 22 НОЯБРЯ ВПЛОТНУЮ ПРИБЛИЗИЛСЯ К ПОКАЗАТЕЛЮ ЗА ВЕСЬ 2019 ГОД</w:t>
      </w:r>
    </w:p>
    <w:p w:rsidR="000A2F6C" w:rsidRDefault="000A2F6C" w:rsidP="000A2F6C">
      <w:r>
        <w:t>Россия с начала года по 22 ноября экспортировала продукции АПК на $25,3 млрд, что на 16% больше, чем годом ранее, сообщает центр "</w:t>
      </w:r>
      <w:proofErr w:type="spellStart"/>
      <w:r w:rsidRPr="000A2F6C">
        <w:rPr>
          <w:b/>
          <w:bCs/>
        </w:rPr>
        <w:t>Агроэкспорт</w:t>
      </w:r>
      <w:proofErr w:type="spellEnd"/>
      <w:r>
        <w:t>" при Минсельхозе.</w:t>
      </w:r>
    </w:p>
    <w:p w:rsidR="000A2F6C" w:rsidRDefault="000A2F6C" w:rsidP="000A2F6C">
      <w:r>
        <w:t>Таким образом, экспорт вплотную приблизился к показателю за весь прошлый год, который составил $25,6 млрд.</w:t>
      </w:r>
    </w:p>
    <w:p w:rsidR="000A2F6C" w:rsidRDefault="000A2F6C" w:rsidP="000A2F6C">
      <w:r>
        <w:t xml:space="preserve">В частности, поставки зерна увеличились на 19%, до $8,355 млрд, мясной и молочной продукции - на 42%, до $1,003 млрд, масложировой продукции - на 18%, до $4,049 млрд, продукции пищевой и перерабатывающей промышленности - на 16%, до $3,665 млрд. </w:t>
      </w:r>
    </w:p>
    <w:p w:rsidR="000A2F6C" w:rsidRPr="000A2F6C" w:rsidRDefault="000A2F6C" w:rsidP="000A2F6C">
      <w:r>
        <w:t xml:space="preserve">Лидером по закупкам российского продовольствия остается Китай с долей 13,8%. Экспорт в эту страну составил $3,488, что на 26% больше прошлогоднего. На втором месте - ЕС с долей 11,3%. </w:t>
      </w:r>
      <w:r w:rsidRPr="000A2F6C">
        <w:rPr>
          <w:i/>
          <w:iCs/>
        </w:rPr>
        <w:t>Интерфакс</w:t>
      </w:r>
      <w:r>
        <w:rPr>
          <w:i/>
          <w:iCs/>
        </w:rPr>
        <w:t xml:space="preserve">, </w:t>
      </w:r>
      <w:r w:rsidRPr="00A70B80">
        <w:rPr>
          <w:i/>
        </w:rPr>
        <w:t>MilkNews.ru</w:t>
      </w:r>
    </w:p>
    <w:p w:rsidR="00BC417C" w:rsidRDefault="00F62502" w:rsidP="001E383E">
      <w:pPr>
        <w:pStyle w:val="a8"/>
        <w:spacing w:before="240"/>
        <w:outlineLvl w:val="0"/>
      </w:pPr>
      <w:r>
        <w:t>Государственное регулирование отрасли АПК</w:t>
      </w:r>
    </w:p>
    <w:p w:rsidR="00BC417C" w:rsidRPr="00BC417C" w:rsidRDefault="00C5555A" w:rsidP="00BC417C">
      <w:pPr>
        <w:pStyle w:val="a9"/>
      </w:pPr>
      <w:hyperlink r:id="rId10" w:history="1">
        <w:r w:rsidR="00BC417C" w:rsidRPr="00BC417C">
          <w:t>В РОССИЙСКИХ ПОРТАХ РАЗРЕШАТ ХРАНИТЬ АГРОХИМИКАТЫ</w:t>
        </w:r>
      </w:hyperlink>
    </w:p>
    <w:p w:rsidR="00BC417C" w:rsidRDefault="00BC417C" w:rsidP="00BC417C">
      <w:r>
        <w:t xml:space="preserve">В России предлагают разрешить хранение </w:t>
      </w:r>
      <w:proofErr w:type="spellStart"/>
      <w:r w:rsidRPr="001E383E">
        <w:t>агрохимикатов</w:t>
      </w:r>
      <w:proofErr w:type="spellEnd"/>
      <w:r>
        <w:t xml:space="preserve"> в границах прибрежных защитных полос в специализированных хранилищах. Соответствующий законопроект депутаты планируют рассмотреть в третьем чтении на пленарном заседании </w:t>
      </w:r>
      <w:r w:rsidRPr="001E383E">
        <w:t>Госдумы</w:t>
      </w:r>
      <w:r>
        <w:t xml:space="preserve"> 26 ноября. </w:t>
      </w:r>
      <w:r w:rsidR="000A2F6C" w:rsidRPr="000A2F6C">
        <w:t xml:space="preserve"> </w:t>
      </w:r>
      <w:r w:rsidRPr="004C7503">
        <w:rPr>
          <w:i/>
        </w:rPr>
        <w:t>Парламентская газета</w:t>
      </w:r>
    </w:p>
    <w:p w:rsidR="00903E89" w:rsidRPr="00BC417C" w:rsidRDefault="00C5555A" w:rsidP="00903E89">
      <w:pPr>
        <w:pStyle w:val="a9"/>
      </w:pPr>
      <w:hyperlink r:id="rId11" w:history="1">
        <w:r w:rsidR="00903E89" w:rsidRPr="00BC417C">
          <w:t>АДМИНИСТРАТИВНУЮ НАГРУЗКУ НА НЕБОЛЬШИЕ СЕЛЬХОЗКООПЕРАТИВЫ МОГУТ СНИЗИТЬ</w:t>
        </w:r>
      </w:hyperlink>
    </w:p>
    <w:p w:rsidR="00903E89" w:rsidRPr="00903E89" w:rsidRDefault="00903E89" w:rsidP="00903E89">
      <w:r>
        <w:t xml:space="preserve">В России предлагается применять упрощенный порядок регулирования для сельхозкооперативов, в состав которых входит менее 200 участников, в части соблюдения ими правил привлечения и размещения денежных средств. Соответствующий законопроект Госдума приняла во втором чтении. </w:t>
      </w:r>
      <w:r w:rsidRPr="00A70B80">
        <w:rPr>
          <w:i/>
        </w:rPr>
        <w:t xml:space="preserve">Парламентская газета </w:t>
      </w:r>
    </w:p>
    <w:p w:rsidR="00C8396B" w:rsidRDefault="00C8396B" w:rsidP="00BC417C"/>
    <w:p w:rsidR="000A2F6C" w:rsidRPr="000A2F6C" w:rsidRDefault="000A2F6C" w:rsidP="000A2F6C">
      <w:pPr>
        <w:rPr>
          <w:b/>
          <w:bCs/>
        </w:rPr>
      </w:pPr>
      <w:r w:rsidRPr="000A2F6C">
        <w:rPr>
          <w:b/>
          <w:bCs/>
        </w:rPr>
        <w:t>ПЕРЕНОСА СРОКА ЭКСПЕРИМЕНТА ПО МАРКИРОВКЕ ПИТЬЕВОЙ ВОДЫ В РФ НЕ БУДЕТ - МИНПРОМТОРГ</w:t>
      </w:r>
    </w:p>
    <w:p w:rsidR="000A2F6C" w:rsidRDefault="000A2F6C" w:rsidP="000A2F6C">
      <w:proofErr w:type="spellStart"/>
      <w:r w:rsidRPr="000A2F6C">
        <w:t>Минпромторг</w:t>
      </w:r>
      <w:proofErr w:type="spellEnd"/>
      <w:r w:rsidRPr="000A2F6C">
        <w:t xml:space="preserve"> не рассматривает вопрос о продлении сроков эксперимента маркировки воды, который проходит в России с 1 апреля 2020 г. по 1 марта 2021 г. Об этом в ходе парламентских слушаний "О мерах по противодействию незаконному обороту упакованной питьевой воды, включая природную минеральную воду" в Совете Федерации заявил статс-секретарь - замглавы </w:t>
      </w:r>
      <w:proofErr w:type="spellStart"/>
      <w:r w:rsidRPr="000A2F6C">
        <w:t>Минпромторга</w:t>
      </w:r>
      <w:proofErr w:type="spellEnd"/>
      <w:r w:rsidRPr="000A2F6C">
        <w:t xml:space="preserve"> РФ Виктор </w:t>
      </w:r>
      <w:proofErr w:type="spellStart"/>
      <w:r w:rsidRPr="000A2F6C">
        <w:t>Евтухов</w:t>
      </w:r>
      <w:proofErr w:type="spellEnd"/>
      <w:r w:rsidRPr="000A2F6C">
        <w:t xml:space="preserve">. </w:t>
      </w:r>
    </w:p>
    <w:p w:rsidR="000A2F6C" w:rsidRPr="00BC417C" w:rsidRDefault="000A2F6C" w:rsidP="000A2F6C">
      <w:proofErr w:type="spellStart"/>
      <w:r w:rsidRPr="000A2F6C">
        <w:t>Евтухов</w:t>
      </w:r>
      <w:proofErr w:type="spellEnd"/>
      <w:r w:rsidRPr="000A2F6C">
        <w:t xml:space="preserve"> также сообщил, что предварительные результаты эксперимента по маркировке воды планируется рассмотреть 23 декабря на заседании государственной комиссии по противодействию незаконному обороту промышленной продукции. Эксперимент идет с 1 апреля текущего года.</w:t>
      </w:r>
      <w:r w:rsidRPr="00E35466">
        <w:t xml:space="preserve"> </w:t>
      </w:r>
      <w:r w:rsidRPr="000A2F6C">
        <w:rPr>
          <w:i/>
          <w:iCs/>
        </w:rPr>
        <w:t>Интерфакс, ТАСС</w:t>
      </w:r>
    </w:p>
    <w:p w:rsidR="00C8396B" w:rsidRDefault="00F62502">
      <w:pPr>
        <w:pStyle w:val="a8"/>
        <w:spacing w:before="240"/>
        <w:outlineLvl w:val="0"/>
      </w:pPr>
      <w:bookmarkStart w:id="9" w:name="SEC_5"/>
      <w:bookmarkEnd w:id="8"/>
      <w:r>
        <w:t>Агропромышленный комплекс</w:t>
      </w:r>
    </w:p>
    <w:p w:rsidR="008D21F0" w:rsidRPr="00BC417C" w:rsidRDefault="008D21F0" w:rsidP="008D21F0">
      <w:pPr>
        <w:pStyle w:val="a9"/>
      </w:pPr>
      <w:r w:rsidRPr="00BC417C">
        <w:t>Снижение доходов граждан подняло продажи хлеба</w:t>
      </w:r>
    </w:p>
    <w:p w:rsidR="008D21F0" w:rsidRDefault="008D21F0" w:rsidP="008D21F0">
      <w:r>
        <w:t xml:space="preserve">Продажи хлеба в России в натуральном выражении по итогам года могут вырасти более чем на 60 тыс. тонн, до 7,95 млн тонн год к году. Об этом говорится в прогнозе аналитической компании </w:t>
      </w:r>
      <w:proofErr w:type="spellStart"/>
      <w:r>
        <w:t>BusinesStat</w:t>
      </w:r>
      <w:proofErr w:type="spellEnd"/>
      <w:r>
        <w:t xml:space="preserve">. Как уточнили в Российском союзе пекарей (РСП), это первый рост продаж хлеба за последние пять лет: всего с 2015 года производство продукта </w:t>
      </w:r>
      <w:r>
        <w:lastRenderedPageBreak/>
        <w:t>сократилось на 5,4%. Рост рынка отмечается и в денежном выражении, добавляют в Российской гильдии пекарей и кондитеров (</w:t>
      </w:r>
      <w:proofErr w:type="spellStart"/>
      <w:r>
        <w:t>РОСПиК</w:t>
      </w:r>
      <w:proofErr w:type="spellEnd"/>
      <w:r>
        <w:t>). По их оценкам, за январь - сентябрь продажи категории выросли на 2,9% год к году, до 552,7 млрд руб.</w:t>
      </w:r>
    </w:p>
    <w:p w:rsidR="008D21F0" w:rsidRPr="00BC417C" w:rsidRDefault="008D21F0" w:rsidP="008D21F0">
      <w:r>
        <w:t xml:space="preserve">Но увеличение спроса в этом году не привело к дополнительным доходам индустриальных предприятий хлебопечения, отмечает Андрей Лялин. По данным </w:t>
      </w:r>
      <w:proofErr w:type="spellStart"/>
      <w:r>
        <w:t>РОСПиК</w:t>
      </w:r>
      <w:proofErr w:type="spellEnd"/>
      <w:r>
        <w:t xml:space="preserve">, рентабельность предприятий находится на уровне 2-3%. Проблема в росте стоимости сырья и не отражающей эту динамику отпускной цене, которая искусственно сдерживается торговыми сетями, указывает господин Лялин. </w:t>
      </w:r>
      <w:r w:rsidRPr="00903E89">
        <w:t>В РСП ожидают, что производство хлеба начнет сокращаться после стабилизации экономической ситуации.</w:t>
      </w:r>
      <w:r>
        <w:t xml:space="preserve"> </w:t>
      </w:r>
      <w:r w:rsidRPr="00A70B80">
        <w:rPr>
          <w:i/>
        </w:rPr>
        <w:t>Коммерсантъ</w:t>
      </w:r>
    </w:p>
    <w:p w:rsidR="00B37747" w:rsidRPr="00BC417C" w:rsidRDefault="00C5555A" w:rsidP="00B37747">
      <w:pPr>
        <w:pStyle w:val="a9"/>
      </w:pPr>
      <w:hyperlink r:id="rId12" w:history="1">
        <w:r w:rsidR="00B37747" w:rsidRPr="00BC417C">
          <w:t>БАРК "СЕДОВ" ПРИШЕЛ НА РЕЙД БАЛТИЙСКА И ГОТОВИТСЯ К ЗАХОДУ В КАЛИНИНГРАД</w:t>
        </w:r>
      </w:hyperlink>
    </w:p>
    <w:p w:rsidR="00B37747" w:rsidRDefault="00B37747" w:rsidP="00B37747">
      <w:r>
        <w:t>Российский барк "Седов" вернулся к родному берегу и готовится к заходу в порт Калининграда, сообщила руководитель пресс-службы Балтийской государственной академии Ирина Образцова.</w:t>
      </w:r>
      <w:r w:rsidR="000A2F6C">
        <w:t xml:space="preserve"> </w:t>
      </w:r>
      <w:r>
        <w:t>До родного причала паруснику осталось пройти порядка 30 морских миль</w:t>
      </w:r>
      <w:r w:rsidR="000A2F6C">
        <w:t xml:space="preserve">. </w:t>
      </w:r>
    </w:p>
    <w:p w:rsidR="00B37747" w:rsidRDefault="00B37747" w:rsidP="00B37747">
      <w:pPr>
        <w:rPr>
          <w:i/>
        </w:rPr>
      </w:pPr>
      <w:r>
        <w:t xml:space="preserve">В результате, если осенняя погода позволит, "Седов" зайдет в Калининград в ночь на пятницу - 27 ноября. Встреча судна будет торжественной, но весьма скромной из-за пандемии. В числе встречающих будет заместитель </w:t>
      </w:r>
      <w:r w:rsidRPr="00BC417C">
        <w:rPr>
          <w:b/>
        </w:rPr>
        <w:t>министра сельского хозяйства России</w:t>
      </w:r>
      <w:r>
        <w:t xml:space="preserve"> - руководитель </w:t>
      </w:r>
      <w:proofErr w:type="spellStart"/>
      <w:r w:rsidRPr="00BC417C">
        <w:rPr>
          <w:b/>
        </w:rPr>
        <w:t>Росрыболовства</w:t>
      </w:r>
      <w:proofErr w:type="spellEnd"/>
      <w:r>
        <w:t xml:space="preserve"> </w:t>
      </w:r>
      <w:r w:rsidRPr="00BC417C">
        <w:rPr>
          <w:b/>
        </w:rPr>
        <w:t>Илья Шестаков</w:t>
      </w:r>
      <w:r>
        <w:t xml:space="preserve">. </w:t>
      </w:r>
      <w:r w:rsidRPr="004A5300">
        <w:rPr>
          <w:i/>
        </w:rPr>
        <w:t>Интерфакс</w:t>
      </w:r>
    </w:p>
    <w:p w:rsidR="00B37747" w:rsidRPr="00790EE9" w:rsidRDefault="00C5555A" w:rsidP="00B37747">
      <w:pPr>
        <w:pStyle w:val="a9"/>
      </w:pPr>
      <w:hyperlink r:id="rId13" w:history="1">
        <w:r w:rsidR="00B37747" w:rsidRPr="00790EE9">
          <w:t>ЭКСПОРТ РОССИЙСКОЙ ПШЕНИЦЫ В ЭТОМ СЕЗОНЕ МОЖЕТ ДОСТИЧЬ РЕКОРДА</w:t>
        </w:r>
      </w:hyperlink>
    </w:p>
    <w:p w:rsidR="00B37747" w:rsidRDefault="00B37747" w:rsidP="00B37747">
      <w:r>
        <w:t xml:space="preserve">Объем </w:t>
      </w:r>
      <w:r w:rsidRPr="00790EE9">
        <w:rPr>
          <w:b/>
        </w:rPr>
        <w:t>экспорта</w:t>
      </w:r>
      <w:r>
        <w:t xml:space="preserve"> из России </w:t>
      </w:r>
      <w:r w:rsidRPr="00790EE9">
        <w:rPr>
          <w:b/>
        </w:rPr>
        <w:t>пшеницы</w:t>
      </w:r>
      <w:r>
        <w:t xml:space="preserve"> в 2020-2021 сельскохозяйственном году (начинается с 1 июля) может приблизиться к историческому рекорду 2017-2018 </w:t>
      </w:r>
      <w:proofErr w:type="spellStart"/>
      <w:r>
        <w:t>сельхозгода</w:t>
      </w:r>
      <w:proofErr w:type="spellEnd"/>
      <w:r>
        <w:t>, говорится в обзоре аналитического центра "</w:t>
      </w:r>
      <w:proofErr w:type="spellStart"/>
      <w:r>
        <w:t>Совэкон</w:t>
      </w:r>
      <w:proofErr w:type="spellEnd"/>
      <w:r>
        <w:t xml:space="preserve">". </w:t>
      </w:r>
    </w:p>
    <w:p w:rsidR="00B37747" w:rsidRDefault="00B37747" w:rsidP="00B37747">
      <w:r>
        <w:t xml:space="preserve">Эксперты повысили прогноз </w:t>
      </w:r>
      <w:r w:rsidRPr="00790EE9">
        <w:rPr>
          <w:b/>
        </w:rPr>
        <w:t>экспорта пшеницы</w:t>
      </w:r>
      <w:r>
        <w:t xml:space="preserve"> из страны на 1 миллион тонн (на 2,5%), до 40,8 миллиона тонн. Оценка поставок ячменя и кукурузы понижена на 0,3 миллиона тонн - на 5,8%, до 4,9 миллиона тонн, и на 7,1%, до 3,9 миллиона тонн соответственно. Общий </w:t>
      </w:r>
      <w:r w:rsidRPr="00790EE9">
        <w:rPr>
          <w:b/>
        </w:rPr>
        <w:t>экспорт зерна</w:t>
      </w:r>
      <w:r>
        <w:t>, бобовых и продуктов их переработки оценивается в 51,2 миллиона тонн, выше предыдущего прогноза на 0,4 миллиона тонн (на 0,8%).</w:t>
      </w:r>
    </w:p>
    <w:p w:rsidR="000A2F6C" w:rsidRPr="000A2F6C" w:rsidRDefault="00B37747" w:rsidP="000A2F6C">
      <w:pPr>
        <w:rPr>
          <w:i/>
        </w:rPr>
      </w:pPr>
      <w:r>
        <w:t>"</w:t>
      </w:r>
      <w:proofErr w:type="spellStart"/>
      <w:r>
        <w:t>Совэкон</w:t>
      </w:r>
      <w:proofErr w:type="spellEnd"/>
      <w:r>
        <w:t xml:space="preserve">" указывает, что прогноз составлен с учетом действия с февраля квоты на экспорт ряда зерновых культур из России и не учитывает ситуацию с введением ненулевой экспортной пошлины на </w:t>
      </w:r>
      <w:r w:rsidRPr="00790EE9">
        <w:rPr>
          <w:b/>
        </w:rPr>
        <w:t>зерно</w:t>
      </w:r>
      <w:r>
        <w:t xml:space="preserve">. </w:t>
      </w:r>
      <w:r w:rsidRPr="00094255">
        <w:rPr>
          <w:i/>
        </w:rPr>
        <w:t>ПРАЙМ</w:t>
      </w:r>
    </w:p>
    <w:p w:rsidR="00BC417C" w:rsidRPr="00BC417C" w:rsidRDefault="00C5555A" w:rsidP="00BC417C">
      <w:pPr>
        <w:pStyle w:val="a9"/>
      </w:pPr>
      <w:hyperlink r:id="rId14" w:history="1">
        <w:r w:rsidR="00BC417C" w:rsidRPr="00BC417C">
          <w:t>В РОССИИ С 26 НОЯБРЯ ЗАПРЕТИЛИ ВВОЗ ИЗ ФЕРГАНСКОЙ ОБЛАСТИ УЗБЕКИСТАНА ТОМАТОВ И ПЕРЦЕВ</w:t>
        </w:r>
      </w:hyperlink>
    </w:p>
    <w:p w:rsidR="00BC417C" w:rsidRDefault="00BC417C" w:rsidP="00BC417C">
      <w:proofErr w:type="spellStart"/>
      <w:r w:rsidRPr="00BC417C">
        <w:rPr>
          <w:b/>
        </w:rPr>
        <w:t>Россельхознадзор</w:t>
      </w:r>
      <w:proofErr w:type="spellEnd"/>
      <w:r>
        <w:t xml:space="preserve"> с 26 ноября вводит запрет на импорт в РФ из Ферганской области Узбекистана помидоров и перцев из-за обнаружения вируса коричневой морщинистости плодов. Об этом говорится в сообщении ведомства.</w:t>
      </w:r>
    </w:p>
    <w:p w:rsidR="00BC417C" w:rsidRPr="000A2F6C" w:rsidRDefault="00BC417C" w:rsidP="00BC417C">
      <w:proofErr w:type="spellStart"/>
      <w:r w:rsidRPr="00BC417C">
        <w:rPr>
          <w:b/>
        </w:rPr>
        <w:t>Россельхознадзор</w:t>
      </w:r>
      <w:proofErr w:type="spellEnd"/>
      <w:r>
        <w:t xml:space="preserve"> ввел ограничения в целях предотвращения заноса и распространения </w:t>
      </w:r>
      <w:r w:rsidR="000A2F6C">
        <w:t>вируса коричневой морщинистости плодов томата (</w:t>
      </w:r>
      <w:proofErr w:type="spellStart"/>
      <w:r w:rsidR="000A2F6C">
        <w:t>Tomato</w:t>
      </w:r>
      <w:proofErr w:type="spellEnd"/>
      <w:r w:rsidR="000A2F6C">
        <w:t xml:space="preserve"> </w:t>
      </w:r>
      <w:proofErr w:type="spellStart"/>
      <w:r w:rsidR="000A2F6C">
        <w:t>brown</w:t>
      </w:r>
      <w:proofErr w:type="spellEnd"/>
      <w:r w:rsidR="000A2F6C">
        <w:t xml:space="preserve"> </w:t>
      </w:r>
      <w:proofErr w:type="spellStart"/>
      <w:r w:rsidR="000A2F6C">
        <w:t>rugose</w:t>
      </w:r>
      <w:proofErr w:type="spellEnd"/>
      <w:r w:rsidR="000A2F6C">
        <w:t xml:space="preserve"> </w:t>
      </w:r>
      <w:proofErr w:type="spellStart"/>
      <w:r w:rsidR="000A2F6C">
        <w:t>fruit</w:t>
      </w:r>
      <w:proofErr w:type="spellEnd"/>
      <w:r w:rsidR="000A2F6C">
        <w:t xml:space="preserve"> </w:t>
      </w:r>
      <w:proofErr w:type="spellStart"/>
      <w:r w:rsidR="000A2F6C">
        <w:t>virus</w:t>
      </w:r>
      <w:proofErr w:type="spellEnd"/>
      <w:r w:rsidR="000A2F6C">
        <w:t xml:space="preserve"> (</w:t>
      </w:r>
      <w:proofErr w:type="spellStart"/>
      <w:r w:rsidR="000A2F6C">
        <w:t>ToBRFV</w:t>
      </w:r>
      <w:proofErr w:type="spellEnd"/>
      <w:r w:rsidR="000A2F6C">
        <w:t xml:space="preserve">)) </w:t>
      </w:r>
      <w:r>
        <w:t>на территории Российской Федерации, добавили в ведомстве.</w:t>
      </w:r>
      <w:r w:rsidR="000A2F6C">
        <w:t xml:space="preserve"> </w:t>
      </w:r>
      <w:r w:rsidRPr="004A5300">
        <w:rPr>
          <w:i/>
        </w:rPr>
        <w:t>ТАСС</w:t>
      </w:r>
    </w:p>
    <w:p w:rsidR="000A2F6C" w:rsidRDefault="000A2F6C" w:rsidP="00BC417C">
      <w:pPr>
        <w:rPr>
          <w:i/>
        </w:rPr>
      </w:pPr>
    </w:p>
    <w:p w:rsidR="000A2F6C" w:rsidRPr="000A2F6C" w:rsidRDefault="000A2F6C" w:rsidP="000A2F6C">
      <w:pPr>
        <w:rPr>
          <w:b/>
          <w:bCs/>
          <w:iCs/>
        </w:rPr>
      </w:pPr>
      <w:r w:rsidRPr="000A2F6C">
        <w:rPr>
          <w:b/>
          <w:bCs/>
          <w:iCs/>
        </w:rPr>
        <w:t>ГРИПП ПТИЦ СТАЛ ПРИЧИНОЙ ОГРАНИЧЕНИЯ ЭКСПОРТА ИЗ РЯДА РЕГИОНОВ РФ В КИТАЙ</w:t>
      </w:r>
    </w:p>
    <w:p w:rsidR="000A2F6C" w:rsidRPr="000A2F6C" w:rsidRDefault="000A2F6C" w:rsidP="000A2F6C">
      <w:pPr>
        <w:rPr>
          <w:iCs/>
        </w:rPr>
      </w:pPr>
      <w:r w:rsidRPr="000A2F6C">
        <w:rPr>
          <w:iCs/>
        </w:rPr>
        <w:t xml:space="preserve">Неблагополучная ситуация по гриппу птиц стала причиной ограничения экспорта продукции птицеводства из ряда регионов РФ в Китай, сообщили в </w:t>
      </w:r>
      <w:proofErr w:type="spellStart"/>
      <w:r w:rsidRPr="00A96B36">
        <w:rPr>
          <w:b/>
          <w:bCs/>
          <w:iCs/>
        </w:rPr>
        <w:t>Россельхознадзоре</w:t>
      </w:r>
      <w:proofErr w:type="spellEnd"/>
      <w:r w:rsidRPr="000A2F6C">
        <w:rPr>
          <w:iCs/>
        </w:rPr>
        <w:t>.</w:t>
      </w:r>
    </w:p>
    <w:p w:rsidR="000A2F6C" w:rsidRPr="004A5300" w:rsidRDefault="000A2F6C" w:rsidP="000A2F6C">
      <w:pPr>
        <w:rPr>
          <w:i/>
        </w:rPr>
      </w:pPr>
      <w:r w:rsidRPr="000A2F6C">
        <w:rPr>
          <w:iCs/>
        </w:rPr>
        <w:t>В службе подтвердили информацию источников на продовольственном рынке о том, что ограничения касаются Татарстана, Саратовской, Костромской и Томской областей.</w:t>
      </w:r>
      <w:r w:rsidRPr="000A2F6C">
        <w:rPr>
          <w:i/>
        </w:rPr>
        <w:t xml:space="preserve"> Интерфакс</w:t>
      </w:r>
    </w:p>
    <w:p w:rsidR="00B37747" w:rsidRPr="00790EE9" w:rsidRDefault="00C5555A" w:rsidP="00B37747">
      <w:pPr>
        <w:pStyle w:val="a9"/>
      </w:pPr>
      <w:hyperlink r:id="rId15" w:history="1">
        <w:r w:rsidR="00B37747" w:rsidRPr="00790EE9">
          <w:t>"АГРИВОЛГА" ПОСТРОИТ МОЛОЧНО-ТОВАРНЫЙ КОМПЛЕКС НА 1200 ГОЛОВ В ЯРОСЛАВСКОЙ ОБЛАСТИ</w:t>
        </w:r>
      </w:hyperlink>
    </w:p>
    <w:p w:rsidR="00B37747" w:rsidRDefault="00B37747" w:rsidP="00B37747">
      <w:r>
        <w:t>Агрохолдинг "</w:t>
      </w:r>
      <w:proofErr w:type="spellStart"/>
      <w:r>
        <w:t>АгриВолга</w:t>
      </w:r>
      <w:proofErr w:type="spellEnd"/>
      <w:r>
        <w:t>", расположенный в Угличе Ярославской области, построит молочно-товарный комплекс на территории Рыбинского района, сообщает пресс-служба компании.</w:t>
      </w:r>
    </w:p>
    <w:p w:rsidR="00B37747" w:rsidRDefault="00B37747" w:rsidP="00B37747">
      <w:pPr>
        <w:rPr>
          <w:i/>
        </w:rPr>
      </w:pPr>
      <w:r>
        <w:t>"Сейчас там содержится дойное стадо на 500 голов, а на новой ферме будет 1200 коров. Мы провели проектные работы, результаты сейчас проходят экспертизу, в апреле 2021 года начнется строительство"</w:t>
      </w:r>
      <w:r w:rsidR="00136493">
        <w:t>, рассказала Елена Яшаева, генеральный директор холдинга "</w:t>
      </w:r>
      <w:proofErr w:type="spellStart"/>
      <w:r w:rsidR="00136493">
        <w:t>АгриВолга</w:t>
      </w:r>
      <w:proofErr w:type="spellEnd"/>
      <w:r w:rsidR="00136493">
        <w:t xml:space="preserve">". </w:t>
      </w:r>
      <w:r w:rsidRPr="00094255">
        <w:rPr>
          <w:i/>
        </w:rPr>
        <w:t>MilkNews.ru</w:t>
      </w:r>
    </w:p>
    <w:p w:rsidR="001C3A94" w:rsidRDefault="001C3A94" w:rsidP="00B37747">
      <w:pPr>
        <w:rPr>
          <w:i/>
        </w:rPr>
      </w:pPr>
    </w:p>
    <w:p w:rsidR="001C3A94" w:rsidRPr="001C3A94" w:rsidRDefault="001C3A94" w:rsidP="001C3A94">
      <w:pPr>
        <w:rPr>
          <w:b/>
          <w:bCs/>
        </w:rPr>
      </w:pPr>
      <w:r w:rsidRPr="001C3A94">
        <w:rPr>
          <w:b/>
          <w:bCs/>
        </w:rPr>
        <w:t>УЧЕНЫЕ СТАВРОПОЛЬЯ ВЕРНУЛИ ПРОИЗВОДСТВО ЛАКТОЗЫ В РОССИЮ</w:t>
      </w:r>
    </w:p>
    <w:p w:rsidR="001C3A94" w:rsidRDefault="001C3A94" w:rsidP="001C3A94">
      <w:r>
        <w:t>В Ставропольском крае заработало единственное в России производство лактозы. Это важный компонент лекарственных препаратов и пищевой промышленности. В регионе будут производить пятую часть всего ввозимого в страну сырья.</w:t>
      </w:r>
    </w:p>
    <w:p w:rsidR="001C3A94" w:rsidRPr="00136493" w:rsidRDefault="001C3A94" w:rsidP="001C3A94">
      <w:r>
        <w:t xml:space="preserve">Как рассказывает специалист Центра биотехнологического инжиниринга </w:t>
      </w:r>
      <w:proofErr w:type="gramStart"/>
      <w:r>
        <w:t>Северо-Кавказского</w:t>
      </w:r>
      <w:proofErr w:type="gramEnd"/>
      <w:r>
        <w:t xml:space="preserve"> федерального университета кандидат технических наук Георгий Анисимов, на предприятии, где внедрили вузовскую технологию, сейчас производят около 160 тонн лактозы в месяц. Производят ее из молочной сыворотки. На технологию оформлен патент. </w:t>
      </w:r>
      <w:r w:rsidRPr="001C3A94">
        <w:rPr>
          <w:i/>
          <w:iCs/>
        </w:rPr>
        <w:t>Российская газета</w:t>
      </w:r>
    </w:p>
    <w:p w:rsidR="00B37747" w:rsidRPr="00790EE9" w:rsidRDefault="00C5555A" w:rsidP="00B37747">
      <w:pPr>
        <w:pStyle w:val="a9"/>
      </w:pPr>
      <w:hyperlink r:id="rId16" w:history="1">
        <w:r w:rsidR="00B37747" w:rsidRPr="00790EE9">
          <w:t>РОССЕЛЬХОЗНАДЗОР ФИКСИРУЕТ РОСТ ЭКСПОРТА ИЗ РФ ПРОДУКЦИИ С ПРЕВЫШЕНИЕМ ПЕСТИЦИДОВ</w:t>
        </w:r>
      </w:hyperlink>
    </w:p>
    <w:p w:rsidR="00B37747" w:rsidRDefault="00B37747" w:rsidP="00B37747">
      <w:proofErr w:type="spellStart"/>
      <w:r w:rsidRPr="00790EE9">
        <w:rPr>
          <w:b/>
        </w:rPr>
        <w:t>Россельхознадзор</w:t>
      </w:r>
      <w:proofErr w:type="spellEnd"/>
      <w:r>
        <w:t xml:space="preserve"> обеспокоен участившимися случаями выявлений в экспортируемой из России продукции превышенного количества пестицидов. Об этом говорится в сообщении ведомства.</w:t>
      </w:r>
    </w:p>
    <w:p w:rsidR="00B37747" w:rsidRDefault="00B37747" w:rsidP="00B37747">
      <w:r>
        <w:t xml:space="preserve">"В </w:t>
      </w:r>
      <w:proofErr w:type="spellStart"/>
      <w:r w:rsidRPr="00790EE9">
        <w:rPr>
          <w:b/>
        </w:rPr>
        <w:t>Россельхознадзор</w:t>
      </w:r>
      <w:proofErr w:type="spellEnd"/>
      <w:r>
        <w:t xml:space="preserve"> обратилось Национальное агентство по безопасности пищевых продуктов республики Молдова с просьбой принять меры по предотвращению нарушений при поставках из России гречневой крупы. По данным молдавского компетентного ведомства, в экспортируемых четырьмя предприятиями из Курской, Ленинградской, Брянской и Воронежской областей партиях гречневой крупы обнаружены превышения максимально допустимого уровня пестицида </w:t>
      </w:r>
      <w:proofErr w:type="spellStart"/>
      <w:r>
        <w:t>глифосата</w:t>
      </w:r>
      <w:proofErr w:type="spellEnd"/>
      <w:r>
        <w:t>, установленного постановлением правительства республики Молдова. Так, в одной из партии норма превышена в 57 раз", - отмечается в сообщении.</w:t>
      </w:r>
    </w:p>
    <w:p w:rsidR="001C3A94" w:rsidRDefault="00B37747" w:rsidP="00B37747">
      <w:pPr>
        <w:rPr>
          <w:i/>
        </w:rPr>
      </w:pPr>
      <w:r>
        <w:lastRenderedPageBreak/>
        <w:t xml:space="preserve">Молдавское агентство по безопасности продуктов попросило </w:t>
      </w:r>
      <w:proofErr w:type="spellStart"/>
      <w:r w:rsidRPr="00790EE9">
        <w:rPr>
          <w:b/>
        </w:rPr>
        <w:t>Россельхознадзор</w:t>
      </w:r>
      <w:proofErr w:type="spellEnd"/>
      <w:r>
        <w:t xml:space="preserve"> принять меры для исключения подобных случаев в будущем. По данным фактам российским ведомством начато расследование. </w:t>
      </w:r>
      <w:r w:rsidRPr="00094255">
        <w:rPr>
          <w:i/>
        </w:rPr>
        <w:t>MilkNews.ru</w:t>
      </w:r>
    </w:p>
    <w:p w:rsidR="001C3A94" w:rsidRPr="00BC417C" w:rsidRDefault="00C5555A" w:rsidP="001C3A94">
      <w:pPr>
        <w:pStyle w:val="a9"/>
      </w:pPr>
      <w:hyperlink r:id="rId17" w:history="1">
        <w:r w:rsidR="001C3A94" w:rsidRPr="00BC417C">
          <w:t>ДЕНЕЖНЫЕ СЕРТИФИКАТЫ НА ПОКУПКУ ЖИЛЬЯ ПОЛУЧИЛИ 36 НИЖЕГОРОДСКИХ СЕМЕЙ</w:t>
        </w:r>
      </w:hyperlink>
    </w:p>
    <w:p w:rsidR="001C3A94" w:rsidRDefault="001C3A94" w:rsidP="001C3A94">
      <w:r>
        <w:t>Губернатор Нижегородской области Глеб Никитин сообщил, что в 2020 году денежные сертификаты на приобретение жилья по государственной программе "Комплексное развитие сельских территорий" получили 36 семей в регионе.</w:t>
      </w:r>
    </w:p>
    <w:p w:rsidR="001C3A94" w:rsidRPr="002B4FB2" w:rsidRDefault="001C3A94" w:rsidP="001C3A94">
      <w:r>
        <w:t xml:space="preserve">По данным регионального </w:t>
      </w:r>
      <w:proofErr w:type="spellStart"/>
      <w:r>
        <w:t>минсельхоза</w:t>
      </w:r>
      <w:proofErr w:type="spellEnd"/>
      <w:r>
        <w:t xml:space="preserve">, получателями жилищных сертификатов стали жители населенных пунктов 17 районов Нижегородской области. </w:t>
      </w:r>
      <w:r w:rsidRPr="00A70B80">
        <w:rPr>
          <w:i/>
        </w:rPr>
        <w:t>РИА Новости</w:t>
      </w:r>
    </w:p>
    <w:p w:rsidR="001C3A94" w:rsidRPr="00BC417C" w:rsidRDefault="00C5555A" w:rsidP="001C3A94">
      <w:pPr>
        <w:pStyle w:val="a9"/>
      </w:pPr>
      <w:hyperlink r:id="rId18" w:history="1">
        <w:r w:rsidR="001C3A94" w:rsidRPr="00BC417C">
          <w:t>ЖИТЕЛИ АЛТАЙСКОГО КРАЯ И РЕСПУБЛИКИ АЛТАЙ ПО ПРОГРАММЕ "СЕЛЬСКАЯ ИПОТЕКА" ПОЛУЧИЛИ В 2020Г 1 МЛРД РУБЛЕЙ</w:t>
        </w:r>
      </w:hyperlink>
    </w:p>
    <w:p w:rsidR="001C3A94" w:rsidRDefault="001C3A94" w:rsidP="001C3A94">
      <w:r>
        <w:t xml:space="preserve">Более 600 семей в Алтайском крае и Республике Алтай смогли в 2020 году воспользоваться программой "Сельская ипотека" и улучшить свои жилищные условия, сообщает пресс-центр правительства края со ссылкой на региональный </w:t>
      </w:r>
      <w:proofErr w:type="spellStart"/>
      <w:r>
        <w:t>минсельхоз</w:t>
      </w:r>
      <w:proofErr w:type="spellEnd"/>
      <w:r>
        <w:t>.</w:t>
      </w:r>
    </w:p>
    <w:p w:rsidR="001C3A94" w:rsidRDefault="001C3A94" w:rsidP="00B37747">
      <w:pPr>
        <w:rPr>
          <w:i/>
        </w:rPr>
      </w:pPr>
      <w:r>
        <w:t>Сумма ипотечных кредитов по программе "Сельская ипотека" составила 1 млрд рублей. Также одобрено порядка 500 заявок. Средняя сумма кредита составляет около 1,5 млн рублей.</w:t>
      </w:r>
      <w:r>
        <w:rPr>
          <w:i/>
        </w:rPr>
        <w:t xml:space="preserve"> </w:t>
      </w:r>
      <w:r w:rsidRPr="00A70B80">
        <w:rPr>
          <w:i/>
        </w:rPr>
        <w:t>Интерфакс</w:t>
      </w:r>
    </w:p>
    <w:p w:rsidR="001C3A94" w:rsidRPr="00BC417C" w:rsidRDefault="00C5555A" w:rsidP="001C3A94">
      <w:pPr>
        <w:pStyle w:val="a9"/>
      </w:pPr>
      <w:hyperlink r:id="rId19" w:history="1">
        <w:r w:rsidR="001C3A94" w:rsidRPr="00BC417C">
          <w:t xml:space="preserve">НА САХАЛИНЕ </w:t>
        </w:r>
        <w:r w:rsidR="001C3A94">
          <w:t xml:space="preserve">превышен лимит разрешенных к добыче морских зайцев </w:t>
        </w:r>
      </w:hyperlink>
    </w:p>
    <w:p w:rsidR="001C3A94" w:rsidRDefault="001C3A94" w:rsidP="001C3A94">
      <w:r>
        <w:t xml:space="preserve">На Сахалине в Северо-Охотской </w:t>
      </w:r>
      <w:proofErr w:type="spellStart"/>
      <w:r>
        <w:t>подзоне</w:t>
      </w:r>
      <w:proofErr w:type="spellEnd"/>
      <w:r>
        <w:t xml:space="preserve"> превышен лимит разрешенных к добыче морских зайцев (</w:t>
      </w:r>
      <w:proofErr w:type="spellStart"/>
      <w:r>
        <w:t>лахтаков</w:t>
      </w:r>
      <w:proofErr w:type="spellEnd"/>
      <w:r>
        <w:t xml:space="preserve">), сообщили корреспонденту ИА REGNUM в территориальном управлении </w:t>
      </w:r>
      <w:r w:rsidRPr="00BC417C">
        <w:rPr>
          <w:b/>
        </w:rPr>
        <w:t>Федерального агентства по рыболовству</w:t>
      </w:r>
      <w:r>
        <w:t>.</w:t>
      </w:r>
    </w:p>
    <w:p w:rsidR="001C3A94" w:rsidRDefault="001C3A94" w:rsidP="001C3A94">
      <w:r>
        <w:t xml:space="preserve">На 20 ноября был выловлен 141 морской заяц. Рекомендованный объем добычи в 2020 году составлял 107 штук. Таким образом уже выловили на 34 </w:t>
      </w:r>
      <w:proofErr w:type="spellStart"/>
      <w:r>
        <w:t>лахтака</w:t>
      </w:r>
      <w:proofErr w:type="spellEnd"/>
      <w:r>
        <w:t xml:space="preserve"> больше.</w:t>
      </w:r>
    </w:p>
    <w:p w:rsidR="001C3A94" w:rsidRDefault="001C3A94" w:rsidP="001C3A94">
      <w:r>
        <w:t>"Управление настоятельно рекомендует пользователям, осуществляющим добычу морского зайца в Северо-</w:t>
      </w:r>
      <w:proofErr w:type="spellStart"/>
      <w:r>
        <w:t>Охотоморской</w:t>
      </w:r>
      <w:proofErr w:type="spellEnd"/>
      <w:r>
        <w:t xml:space="preserve"> </w:t>
      </w:r>
      <w:proofErr w:type="spellStart"/>
      <w:r>
        <w:t>подзоне</w:t>
      </w:r>
      <w:proofErr w:type="spellEnd"/>
      <w:r>
        <w:t xml:space="preserve">, прекратить промысел в связи с освоением рекомендованного объема добычи", - сказали в ведомстве. </w:t>
      </w:r>
    </w:p>
    <w:p w:rsidR="001C3A94" w:rsidRPr="00094255" w:rsidRDefault="001C3A94" w:rsidP="00B37747">
      <w:pPr>
        <w:rPr>
          <w:i/>
        </w:rPr>
      </w:pPr>
      <w:r>
        <w:t xml:space="preserve">Аналогичная ситуация сложилась и с добычей полосатого тюленя (крылатки). Лимит его вылова также исчерпан - добыто 100% (194 штуки) от рекомендованного объема. </w:t>
      </w:r>
      <w:r w:rsidRPr="004A5300">
        <w:rPr>
          <w:i/>
        </w:rPr>
        <w:t xml:space="preserve">ИА </w:t>
      </w:r>
      <w:proofErr w:type="spellStart"/>
      <w:r w:rsidRPr="004A5300">
        <w:rPr>
          <w:i/>
        </w:rPr>
        <w:t>Regnum</w:t>
      </w:r>
      <w:proofErr w:type="spellEnd"/>
    </w:p>
    <w:p w:rsidR="00903E89" w:rsidRPr="00BC417C" w:rsidRDefault="00C5555A" w:rsidP="00903E89">
      <w:pPr>
        <w:pStyle w:val="a9"/>
      </w:pPr>
      <w:hyperlink r:id="rId20" w:history="1">
        <w:r w:rsidR="00903E89" w:rsidRPr="00BC417C">
          <w:t>В АГРОТЕХНОЛОГИЧЕСКОМ УНИВЕРСИТЕТЕ ЯКУТИИ ВОЗБУДИЛИ ДЕЛО О МОШЕННИЧЕСТВЕ</w:t>
        </w:r>
      </w:hyperlink>
    </w:p>
    <w:p w:rsidR="00903E89" w:rsidRDefault="00903E89" w:rsidP="00903E89">
      <w:r>
        <w:t xml:space="preserve">Уголовное дело о мошенничестве в особо крупных размерах и злоупотреблении должностными полномочиями возбуждено по результатам проверки прокуратурой вуза в Якутии, ректор Арктического государственного агротехнологического университета (АГАТУ) задержан. </w:t>
      </w:r>
    </w:p>
    <w:p w:rsidR="00903E89" w:rsidRDefault="00903E89" w:rsidP="00903E89">
      <w:r>
        <w:t>Прокуратура совместно с МВД и Управлением ФСБ по Республике Саха (Якутия) проверила соблюдение бюджетного законодательства.</w:t>
      </w:r>
    </w:p>
    <w:p w:rsidR="00903E89" w:rsidRDefault="00903E89" w:rsidP="00903E89">
      <w:r>
        <w:t>Отмечается, что "фактически указанные студенты в университет не поступали, обучение в нем не проходили, выделенные из федерального бюджета денежные средства расходовались на иные цели".</w:t>
      </w:r>
    </w:p>
    <w:p w:rsidR="00C8396B" w:rsidRPr="002B4FB2" w:rsidRDefault="00903E89" w:rsidP="00BC417C">
      <w:pPr>
        <w:rPr>
          <w:i/>
        </w:rPr>
      </w:pPr>
      <w:r>
        <w:t xml:space="preserve">Ректором АГАТУ является Иван Слепцов. </w:t>
      </w:r>
      <w:r w:rsidRPr="00A70B80">
        <w:rPr>
          <w:i/>
        </w:rPr>
        <w:t>ТАСС</w:t>
      </w:r>
    </w:p>
    <w:p w:rsidR="00C8396B" w:rsidRDefault="00F62502">
      <w:pPr>
        <w:pStyle w:val="a8"/>
        <w:spacing w:before="240"/>
        <w:outlineLvl w:val="0"/>
      </w:pPr>
      <w:bookmarkStart w:id="10" w:name="SEC_6"/>
      <w:bookmarkEnd w:id="9"/>
      <w:r>
        <w:t>Новости экономики и власти</w:t>
      </w:r>
    </w:p>
    <w:p w:rsidR="001E383E" w:rsidRPr="00790EE9" w:rsidRDefault="00C5555A" w:rsidP="001E383E">
      <w:pPr>
        <w:pStyle w:val="a9"/>
      </w:pPr>
      <w:hyperlink r:id="rId21" w:history="1">
        <w:r w:rsidR="001E383E" w:rsidRPr="00790EE9">
          <w:t>ЦБ НЕ ОПАСАЕТСЯ УВЕЛИЧЕНИЯ ДОЛГОВОЙ НАГРУЗКИ ГРАЖДАН И БИЗНЕСА ИЗ-ЗА РОСТА КРЕДИТОВАНИЯ</w:t>
        </w:r>
      </w:hyperlink>
    </w:p>
    <w:p w:rsidR="001E383E" w:rsidRDefault="001E383E" w:rsidP="001E383E">
      <w:r>
        <w:t xml:space="preserve">Рост кредитования, который сейчас наблюдается в России, происходит без опасного увеличения долговой нагрузки заемщиков - граждан и бизнеса, заявила глава ЦБ РФ Эльвира </w:t>
      </w:r>
      <w:proofErr w:type="spellStart"/>
      <w:r>
        <w:t>Набиуллина</w:t>
      </w:r>
      <w:proofErr w:type="spellEnd"/>
      <w:r>
        <w:t>, выступая в Госдуме.</w:t>
      </w:r>
    </w:p>
    <w:p w:rsidR="001C3A94" w:rsidRPr="00B518AD" w:rsidRDefault="001E383E" w:rsidP="001E383E">
      <w:pPr>
        <w:rPr>
          <w:i/>
        </w:rPr>
      </w:pPr>
      <w:r>
        <w:t xml:space="preserve">Глава Банка России напомнила, что регулятор на фоне пандемии дал послабления для банков для того, чтобы кредитный процесс не был "заморожен". "Надо понимать, что заемные средства для многих компаний сейчас это не столько ресурс для развития, а сколько возможность остаться на плаву. И люди тоже брали кредиты, чтобы поддержать уровень потребления, когда во втором квартале столкнулись со снижением доходов. Так что в цифрах кредитования </w:t>
      </w:r>
      <w:proofErr w:type="gramStart"/>
      <w:r>
        <w:t>сидит</w:t>
      </w:r>
      <w:proofErr w:type="gramEnd"/>
      <w:r>
        <w:t xml:space="preserve"> и эта составляющая временного роста спроса на кредит для сглаживания последствия экономического спада", - добавила глава регулятора. </w:t>
      </w:r>
      <w:r w:rsidRPr="00AE142C">
        <w:rPr>
          <w:i/>
        </w:rPr>
        <w:t>ТАСС</w:t>
      </w:r>
    </w:p>
    <w:p w:rsidR="001C3A94" w:rsidRPr="00790EE9" w:rsidRDefault="00C5555A" w:rsidP="001C3A94">
      <w:pPr>
        <w:pStyle w:val="a9"/>
      </w:pPr>
      <w:hyperlink r:id="rId22" w:history="1">
        <w:r w:rsidR="001C3A94" w:rsidRPr="00790EE9">
          <w:t>НАБИУЛЛИНА: НЕОБХОДИМОСТИ В НЕСТАНДАРТНЫХ МЕРАХ ПОДДЕРЖКИ БЮДЖЕТА НЕТ</w:t>
        </w:r>
      </w:hyperlink>
    </w:p>
    <w:p w:rsidR="001C3A94" w:rsidRPr="001C3A94" w:rsidRDefault="001C3A94" w:rsidP="001E383E">
      <w:r>
        <w:t xml:space="preserve">Необходимости в применении нестандартных мер поддержки Банком России федерального бюджета нет: можно привлечь средства для его пополнения на рыночных условиях и еще есть пространство для стандартного инструмента денежно-кредитной политики (ДКП) - снижения ключевой ставки, сообщила председатель ЦБ РФ Эльвира </w:t>
      </w:r>
      <w:proofErr w:type="spellStart"/>
      <w:r>
        <w:t>Набиуллина</w:t>
      </w:r>
      <w:proofErr w:type="spellEnd"/>
      <w:r>
        <w:t xml:space="preserve"> в ходе пленарного заседания Госдумы. </w:t>
      </w:r>
      <w:r w:rsidRPr="00AE142C">
        <w:rPr>
          <w:i/>
        </w:rPr>
        <w:t>Интерфакс</w:t>
      </w:r>
    </w:p>
    <w:p w:rsidR="001E383E" w:rsidRPr="00790EE9" w:rsidRDefault="00C5555A" w:rsidP="001E383E">
      <w:pPr>
        <w:pStyle w:val="a9"/>
      </w:pPr>
      <w:hyperlink r:id="rId23" w:history="1">
        <w:r w:rsidR="001E383E" w:rsidRPr="00790EE9">
          <w:t>ГОСДУМА ПРИНЯЛА ВО ВТОРОМ ЧТЕНИИ ПРОЕКТ О ЗАМОРОЗКЕ НАКОПИТЕЛЬНОЙ ПЕНСИИ</w:t>
        </w:r>
      </w:hyperlink>
    </w:p>
    <w:p w:rsidR="001E383E" w:rsidRDefault="001E383E" w:rsidP="001E383E">
      <w:r>
        <w:t>Госдума на пленарном заседании в среду приняла во втором чтении правительственный законопроект, которым предлагается вновь продлить "заморозку" накопительной пенсии еще на год, до конца 2023 года.</w:t>
      </w:r>
    </w:p>
    <w:p w:rsidR="001E383E" w:rsidRDefault="001E383E" w:rsidP="001E383E">
      <w:pPr>
        <w:rPr>
          <w:i/>
        </w:rPr>
      </w:pPr>
      <w:r>
        <w:t>Отчисления в накопительную часть пенсионной системы в размере 6% от заработной платы россиян с 2014 года направляются в страховую часть, то есть идут на выплаты нынешним пенсионерам. Согласно действующему закону, такая норма действует до 2021 года. В прошлом году президент России Владимир Путин подписал федеральный закон о "заморозке" накопительной пенсии в 2022 году.</w:t>
      </w:r>
      <w:r w:rsidR="001C3A94">
        <w:t xml:space="preserve"> </w:t>
      </w:r>
      <w:r>
        <w:t>Документ продлевает положение этой нормы до конца 2023 года.</w:t>
      </w:r>
      <w:r w:rsidR="001C3A94">
        <w:t xml:space="preserve"> </w:t>
      </w:r>
      <w:r w:rsidRPr="00AE142C">
        <w:rPr>
          <w:i/>
        </w:rPr>
        <w:t>РИА Новости</w:t>
      </w:r>
    </w:p>
    <w:p w:rsidR="001C3A94" w:rsidRDefault="001C3A94" w:rsidP="001E383E">
      <w:pPr>
        <w:rPr>
          <w:i/>
        </w:rPr>
      </w:pPr>
    </w:p>
    <w:p w:rsidR="001C3A94" w:rsidRPr="001C3A94" w:rsidRDefault="001C3A94" w:rsidP="001C3A94">
      <w:pPr>
        <w:rPr>
          <w:b/>
          <w:bCs/>
        </w:rPr>
      </w:pPr>
      <w:r w:rsidRPr="001C3A94">
        <w:rPr>
          <w:b/>
          <w:bCs/>
        </w:rPr>
        <w:t>КОНТЕЙНЕРЫ ПОДОРОЖАЮТ ПОЗЖЕ</w:t>
      </w:r>
    </w:p>
    <w:p w:rsidR="00C8396B" w:rsidRDefault="001C3A94" w:rsidP="00B91096">
      <w:r>
        <w:t xml:space="preserve">Хотя правительство отказалось от повышения железнодорожных тарифов в 2021 году выше инфляции, ОАО РЖД продолжает обсуждать с рынком возможность дополнительной индексации тарифов на те виды грузов, перевозку которых считает для себя убыточной. В частности, монополия предложила на 4–5% повысить в 2022 году тарифы на перевозку контейнеров, которая принесла в 2019 году убыток на 11,5 млрд руб. На рынке пока рассматривают другие варианты — в частности, использование разных тарифов для перевозки с востока РФ на запад и обратно. </w:t>
      </w:r>
      <w:r w:rsidR="00B91096">
        <w:t xml:space="preserve">                                                     </w:t>
      </w:r>
      <w:bookmarkStart w:id="11" w:name="_GoBack"/>
      <w:bookmarkEnd w:id="11"/>
      <w:r>
        <w:t xml:space="preserve">А в ОАО РЖД вообще допускают введение свободного ценообразования в контейнерных перевозках. </w:t>
      </w:r>
      <w:r w:rsidRPr="001C3A94">
        <w:rPr>
          <w:i/>
          <w:iCs/>
        </w:rPr>
        <w:t>Коммерсантъ</w:t>
      </w:r>
      <w:bookmarkEnd w:id="10"/>
    </w:p>
    <w:sectPr w:rsidR="00C8396B" w:rsidSect="005F3758">
      <w:headerReference w:type="default" r:id="rId24"/>
      <w:footerReference w:type="default" r:id="rId25"/>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55A" w:rsidRDefault="00C5555A">
      <w:r>
        <w:separator/>
      </w:r>
    </w:p>
  </w:endnote>
  <w:endnote w:type="continuationSeparator" w:id="0">
    <w:p w:rsidR="00C5555A" w:rsidRDefault="00C5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AE046F">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AE046F">
            <w:rPr>
              <w:rFonts w:cs="Arial"/>
              <w:color w:val="90989E"/>
              <w:sz w:val="16"/>
              <w:szCs w:val="16"/>
            </w:rPr>
            <w:t>26</w:t>
          </w:r>
          <w:r w:rsidR="004304C8" w:rsidRPr="004304C8">
            <w:rPr>
              <w:rFonts w:cs="Arial"/>
              <w:color w:val="90989E"/>
              <w:sz w:val="16"/>
              <w:szCs w:val="16"/>
            </w:rPr>
            <w:t xml:space="preserve"> </w:t>
          </w:r>
          <w:r w:rsidR="00D52CCC">
            <w:rPr>
              <w:rFonts w:cs="Arial"/>
              <w:color w:val="90989E"/>
              <w:sz w:val="16"/>
              <w:szCs w:val="16"/>
            </w:rPr>
            <w:t>ноября</w:t>
          </w:r>
          <w:r w:rsidR="00C14B74">
            <w:rPr>
              <w:rFonts w:cs="Arial"/>
              <w:color w:val="90989E"/>
              <w:sz w:val="16"/>
              <w:szCs w:val="16"/>
            </w:rPr>
            <w:t xml:space="preserve"> </w:t>
          </w:r>
          <w:r>
            <w:rPr>
              <w:rFonts w:cs="Arial"/>
              <w:color w:val="90989E"/>
              <w:sz w:val="16"/>
              <w:szCs w:val="16"/>
            </w:rPr>
            <w:t>20</w:t>
          </w:r>
          <w:r w:rsidR="00985DA8">
            <w:rPr>
              <w:rFonts w:cs="Arial"/>
              <w:color w:val="90989E"/>
              <w:sz w:val="16"/>
              <w:szCs w:val="16"/>
            </w:rPr>
            <w:t>20</w:t>
          </w:r>
          <w:r w:rsidR="00AE046F">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B91096">
            <w:rPr>
              <w:rStyle w:val="a7"/>
              <w:rFonts w:cs="Arial"/>
              <w:b/>
              <w:noProof/>
              <w:color w:val="FFFFFF"/>
              <w:szCs w:val="18"/>
            </w:rPr>
            <w:t>2</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AE046F">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E4368A">
            <w:rPr>
              <w:rFonts w:cs="Arial"/>
              <w:color w:val="90989E"/>
              <w:sz w:val="16"/>
              <w:szCs w:val="16"/>
            </w:rPr>
            <w:t>2</w:t>
          </w:r>
          <w:r w:rsidR="00AE046F">
            <w:rPr>
              <w:rFonts w:cs="Arial"/>
              <w:color w:val="90989E"/>
              <w:sz w:val="16"/>
              <w:szCs w:val="16"/>
            </w:rPr>
            <w:t>6</w:t>
          </w:r>
          <w:r w:rsidR="00E4368A">
            <w:rPr>
              <w:rFonts w:cs="Arial"/>
              <w:color w:val="90989E"/>
              <w:sz w:val="16"/>
              <w:szCs w:val="16"/>
            </w:rPr>
            <w:t xml:space="preserve"> </w:t>
          </w:r>
          <w:r w:rsidR="00D52CCC">
            <w:rPr>
              <w:rFonts w:cs="Arial"/>
              <w:color w:val="90989E"/>
              <w:sz w:val="16"/>
              <w:szCs w:val="16"/>
            </w:rPr>
            <w:t>ноября</w:t>
          </w:r>
          <w:r w:rsidR="00C14EA4">
            <w:rPr>
              <w:rFonts w:cs="Arial"/>
              <w:color w:val="90989E"/>
              <w:sz w:val="16"/>
              <w:szCs w:val="16"/>
            </w:rPr>
            <w:t xml:space="preserve"> </w:t>
          </w:r>
          <w:r>
            <w:rPr>
              <w:rFonts w:cs="Arial"/>
              <w:color w:val="90989E"/>
              <w:sz w:val="16"/>
              <w:szCs w:val="16"/>
            </w:rPr>
            <w:t>20</w:t>
          </w:r>
          <w:r w:rsidR="00985DA8">
            <w:rPr>
              <w:rFonts w:cs="Arial"/>
              <w:color w:val="90989E"/>
              <w:sz w:val="16"/>
              <w:szCs w:val="16"/>
            </w:rPr>
            <w:t>20</w:t>
          </w:r>
          <w:r w:rsidR="00AE046F">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B91096">
            <w:rPr>
              <w:rStyle w:val="a7"/>
              <w:rFonts w:cs="Arial"/>
              <w:b/>
              <w:noProof/>
              <w:color w:val="FFFFFF"/>
              <w:szCs w:val="18"/>
            </w:rPr>
            <w:t>6</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55A" w:rsidRDefault="00C5555A">
      <w:r>
        <w:separator/>
      </w:r>
    </w:p>
  </w:footnote>
  <w:footnote w:type="continuationSeparator" w:id="0">
    <w:p w:rsidR="00C5555A" w:rsidRDefault="00C55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35512932" wp14:editId="05A644E0">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BC417C">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29732BE"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rsidR="00C8396B" w:rsidRDefault="00F62502"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BC417C">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2F89FBD"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17C"/>
    <w:rsid w:val="0003491F"/>
    <w:rsid w:val="00066C93"/>
    <w:rsid w:val="000A2F6C"/>
    <w:rsid w:val="00136493"/>
    <w:rsid w:val="00195925"/>
    <w:rsid w:val="001C3A94"/>
    <w:rsid w:val="001E383E"/>
    <w:rsid w:val="002B4FB2"/>
    <w:rsid w:val="002E5101"/>
    <w:rsid w:val="002F0492"/>
    <w:rsid w:val="003058E2"/>
    <w:rsid w:val="003B298B"/>
    <w:rsid w:val="003C3C67"/>
    <w:rsid w:val="004304C8"/>
    <w:rsid w:val="005233A0"/>
    <w:rsid w:val="005240C2"/>
    <w:rsid w:val="005F3758"/>
    <w:rsid w:val="00604F1E"/>
    <w:rsid w:val="00635EC9"/>
    <w:rsid w:val="0074571A"/>
    <w:rsid w:val="00750476"/>
    <w:rsid w:val="007910D0"/>
    <w:rsid w:val="007F0AB1"/>
    <w:rsid w:val="00880679"/>
    <w:rsid w:val="008D21F0"/>
    <w:rsid w:val="00903E89"/>
    <w:rsid w:val="00985DA8"/>
    <w:rsid w:val="00A12D82"/>
    <w:rsid w:val="00A96B36"/>
    <w:rsid w:val="00AE046F"/>
    <w:rsid w:val="00B37747"/>
    <w:rsid w:val="00B518AD"/>
    <w:rsid w:val="00B91096"/>
    <w:rsid w:val="00B922A1"/>
    <w:rsid w:val="00BC4068"/>
    <w:rsid w:val="00BC417C"/>
    <w:rsid w:val="00C14B74"/>
    <w:rsid w:val="00C14EA4"/>
    <w:rsid w:val="00C46031"/>
    <w:rsid w:val="00C5555A"/>
    <w:rsid w:val="00C8396B"/>
    <w:rsid w:val="00C90FBF"/>
    <w:rsid w:val="00CD2DDE"/>
    <w:rsid w:val="00CD5A45"/>
    <w:rsid w:val="00D52CCC"/>
    <w:rsid w:val="00DF3099"/>
    <w:rsid w:val="00E12208"/>
    <w:rsid w:val="00E35466"/>
    <w:rsid w:val="00E4368A"/>
    <w:rsid w:val="00F62502"/>
    <w:rsid w:val="00F65057"/>
    <w:rsid w:val="00FC4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5F2427-574C-44E9-937D-812DD855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146049">
      <w:bodyDiv w:val="1"/>
      <w:marLeft w:val="0"/>
      <w:marRight w:val="0"/>
      <w:marTop w:val="0"/>
      <w:marBottom w:val="0"/>
      <w:divBdr>
        <w:top w:val="none" w:sz="0" w:space="0" w:color="auto"/>
        <w:left w:val="none" w:sz="0" w:space="0" w:color="auto"/>
        <w:bottom w:val="none" w:sz="0" w:space="0" w:color="auto"/>
        <w:right w:val="none" w:sz="0" w:space="0" w:color="auto"/>
      </w:divBdr>
    </w:div>
    <w:div w:id="1241134477">
      <w:bodyDiv w:val="1"/>
      <w:marLeft w:val="0"/>
      <w:marRight w:val="0"/>
      <w:marTop w:val="0"/>
      <w:marBottom w:val="0"/>
      <w:divBdr>
        <w:top w:val="none" w:sz="0" w:space="0" w:color="auto"/>
        <w:left w:val="none" w:sz="0" w:space="0" w:color="auto"/>
        <w:bottom w:val="none" w:sz="0" w:space="0" w:color="auto"/>
        <w:right w:val="none" w:sz="0" w:space="0" w:color="auto"/>
      </w:divBdr>
    </w:div>
    <w:div w:id="1508205083">
      <w:bodyDiv w:val="1"/>
      <w:marLeft w:val="0"/>
      <w:marRight w:val="0"/>
      <w:marTop w:val="0"/>
      <w:marBottom w:val="0"/>
      <w:divBdr>
        <w:top w:val="none" w:sz="0" w:space="0" w:color="auto"/>
        <w:left w:val="none" w:sz="0" w:space="0" w:color="auto"/>
        <w:bottom w:val="none" w:sz="0" w:space="0" w:color="auto"/>
        <w:right w:val="none" w:sz="0" w:space="0" w:color="auto"/>
      </w:divBdr>
    </w:div>
    <w:div w:id="1985162167">
      <w:bodyDiv w:val="1"/>
      <w:marLeft w:val="0"/>
      <w:marRight w:val="0"/>
      <w:marTop w:val="0"/>
      <w:marBottom w:val="0"/>
      <w:divBdr>
        <w:top w:val="none" w:sz="0" w:space="0" w:color="auto"/>
        <w:left w:val="none" w:sz="0" w:space="0" w:color="auto"/>
        <w:bottom w:val="none" w:sz="0" w:space="0" w:color="auto"/>
        <w:right w:val="none" w:sz="0" w:space="0" w:color="auto"/>
      </w:divBdr>
    </w:div>
    <w:div w:id="203418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1prime.ru/Agriculture/20201125/832420176.html" TargetMode="External"/><Relationship Id="rId18" Type="http://schemas.openxmlformats.org/officeDocument/2006/relationships/hyperlink" Target="https://www.interfax-russia.ru/siberia/novosti-gorodov/zhiteli-altayskogo-kraya-i-respubliki-altay-po-programme-selskaya-ipoteka-poluchili-v-2020g-1-mlrd-ruble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ass.ru/ekonomika/10093493" TargetMode="External"/><Relationship Id="rId7" Type="http://schemas.openxmlformats.org/officeDocument/2006/relationships/hyperlink" Target="https://kvedomosti.ru/news/https-mcx-gov-ru-press-service-news-v-minselkhoze-obsudili-voprosy-modernizatsii-parka-selkhoztekhniki-v-respublike-buryatiya.html" TargetMode="External"/><Relationship Id="rId12" Type="http://schemas.openxmlformats.org/officeDocument/2006/relationships/hyperlink" Target="https://www.interfax-russia.ru/northwest/news/bark-sedov-prishel-na-reyd-baltiyska-i-gotovitsya-k-zahodu-v-kaliningrad" TargetMode="External"/><Relationship Id="rId17" Type="http://schemas.openxmlformats.org/officeDocument/2006/relationships/hyperlink" Target="https://ria.ru/20201125/zhile-1586324336.htm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milknews.ru/index/rskhn-pesticidy-moldova.html" TargetMode="External"/><Relationship Id="rId20" Type="http://schemas.openxmlformats.org/officeDocument/2006/relationships/hyperlink" Target="https://tass.ru/proisshestviya/1010058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np.ru/economics/administrativnuyu-nagruzku-na-nebolshie-selkhozkooperativy-mogut-snizit.html"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milknews.ru/index/moloko/agrivolga-molochnaya-ferma.html" TargetMode="External"/><Relationship Id="rId23" Type="http://schemas.openxmlformats.org/officeDocument/2006/relationships/hyperlink" Target="https://ria.ru/20201125/zamorozka-1586264901.html" TargetMode="External"/><Relationship Id="rId10" Type="http://schemas.openxmlformats.org/officeDocument/2006/relationships/hyperlink" Target="https://www.pnp.ru/economics/v-rossiyskikh-portakh-razreshat-khranit-agrokhimikaty-2.html" TargetMode="External"/><Relationship Id="rId19" Type="http://schemas.openxmlformats.org/officeDocument/2006/relationships/hyperlink" Target="https://regnum.ru/news/3125341.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ass.ru/ekonomika/10099705" TargetMode="External"/><Relationship Id="rId22" Type="http://schemas.openxmlformats.org/officeDocument/2006/relationships/hyperlink" Target="https://www.interfax-russia.ru/main/nabiullina-neobhodimosti-v-nestandartnyh-merah-podderzhki-byudzheta-ne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0\&#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54</TotalTime>
  <Pages>6</Pages>
  <Words>2879</Words>
  <Characters>16411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14</cp:revision>
  <dcterms:created xsi:type="dcterms:W3CDTF">2020-11-26T04:14:00Z</dcterms:created>
  <dcterms:modified xsi:type="dcterms:W3CDTF">2020-11-26T07:08:00Z</dcterms:modified>
</cp:coreProperties>
</file>