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F6250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07:00 </w:t>
      </w:r>
      <w:r w:rsidR="00E808EB">
        <w:rPr>
          <w:rFonts w:ascii="Times New Roman" w:hAnsi="Times New Roman"/>
          <w:b/>
          <w:color w:val="008B53"/>
          <w:sz w:val="40"/>
          <w:szCs w:val="72"/>
          <w:lang w:eastAsia="en-US"/>
        </w:rPr>
        <w:t>25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="00E808EB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="00E808EB">
        <w:rPr>
          <w:rFonts w:ascii="Times New Roman" w:hAnsi="Times New Roman"/>
          <w:b/>
          <w:color w:val="008B53"/>
          <w:sz w:val="40"/>
          <w:szCs w:val="72"/>
          <w:lang w:eastAsia="en-US"/>
        </w:rPr>
        <w:t>26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E808EB" w:rsidP="006010ED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010ED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bookmarkEnd w:id="4"/>
          <w:p w:rsidR="00E808EB" w:rsidRPr="00E808EB" w:rsidRDefault="00E808EB" w:rsidP="00E808EB">
            <w:pPr>
              <w:pStyle w:val="aa"/>
              <w:jc w:val="left"/>
              <w:rPr>
                <w:kern w:val="36"/>
                <w:sz w:val="24"/>
              </w:rPr>
            </w:pPr>
            <w:r w:rsidRPr="00E808EB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DC6C2F" w:rsidRDefault="00DC6C2F" w:rsidP="00E808EB"/>
          <w:p w:rsidR="00E808EB" w:rsidRDefault="00E808EB" w:rsidP="00E808EB">
            <w:r>
              <w:t>26 апреля</w:t>
            </w:r>
            <w:r w:rsidR="00DC6C2F">
              <w:t xml:space="preserve"> - </w:t>
            </w:r>
            <w:r>
              <w:t>День участников ликвидации последствий радиационных аварий и катастроф и памяти жертв этих аварий и катастроф</w:t>
            </w:r>
            <w:r w:rsidR="00DC6C2F">
              <w:t>.</w:t>
            </w:r>
          </w:p>
          <w:p w:rsidR="00DC6C2F" w:rsidRDefault="00DC6C2F" w:rsidP="00E808EB"/>
          <w:p w:rsidR="00E808EB" w:rsidRDefault="00DC6C2F" w:rsidP="00E808EB">
            <w:r>
              <w:t xml:space="preserve">26 апреля - </w:t>
            </w:r>
            <w:r w:rsidR="00E808EB">
              <w:t>День нотариата в России</w:t>
            </w:r>
            <w:r>
              <w:t>.</w:t>
            </w:r>
          </w:p>
          <w:p w:rsidR="00DC6C2F" w:rsidRDefault="00DC6C2F" w:rsidP="00E808EB"/>
          <w:p w:rsidR="00E808EB" w:rsidRDefault="00DC6C2F" w:rsidP="00E808EB">
            <w:r>
              <w:t xml:space="preserve">26 апреля - </w:t>
            </w:r>
            <w:r w:rsidR="00E808EB">
              <w:t>День сметчика в России</w:t>
            </w:r>
            <w:r>
              <w:t>.</w:t>
            </w:r>
          </w:p>
          <w:p w:rsidR="00C8396B" w:rsidRDefault="00C8396B" w:rsidP="009549EC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9549EC" w:rsidRDefault="0081230D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:rsidR="006F6417" w:rsidRDefault="006F6417" w:rsidP="006F6417">
            <w:pPr>
              <w:pStyle w:val="a9"/>
            </w:pPr>
            <w:r>
              <w:t>Минсельхоз РФ начнет разрабатывать федеральный проект по садоводству после 2023 г</w:t>
            </w:r>
            <w:r w:rsidR="00CF63C8">
              <w:t>ода</w:t>
            </w:r>
          </w:p>
          <w:p w:rsidR="006F6417" w:rsidRPr="006F6417" w:rsidRDefault="006F6417" w:rsidP="006F6417">
            <w:r w:rsidRPr="006F6417">
              <w:t xml:space="preserve">Минсельхоз РФ может заняться разработкой федерального проекта по садоводству и </w:t>
            </w:r>
            <w:proofErr w:type="spellStart"/>
            <w:r w:rsidRPr="006F6417">
              <w:t>питомниководству</w:t>
            </w:r>
            <w:proofErr w:type="spellEnd"/>
            <w:r w:rsidRPr="006F6417">
              <w:t xml:space="preserve"> после оценки итогов работы в 2023 году федерального проекта по картофелеводству и пока изучает другие меры поддержки отрасли, сообщил директор департамента растениеводства, механизации, химизации и защиты растений министерства </w:t>
            </w:r>
            <w:r w:rsidRPr="006F6417">
              <w:rPr>
                <w:b/>
              </w:rPr>
              <w:t>Роман Некрасов.</w:t>
            </w:r>
          </w:p>
          <w:p w:rsidR="006F6417" w:rsidRPr="006F6417" w:rsidRDefault="006F6417" w:rsidP="006F6417">
            <w:r w:rsidRPr="006F6417">
              <w:t xml:space="preserve">Он напомнил про уже разработанный федеральный проект по картофелеводству и овощеводству, который стартует в 2023 году и является первым опытом такого рода мероприятий. Таким образом, продолжил Некрасов, по итогам работы за год можно будет судить об эффективности такого инструмента, а сейчас для развития отрасли садоводства и </w:t>
            </w:r>
            <w:proofErr w:type="spellStart"/>
            <w:r w:rsidRPr="006F6417">
              <w:t>питомниководства</w:t>
            </w:r>
            <w:proofErr w:type="spellEnd"/>
            <w:r w:rsidRPr="006F6417">
              <w:t xml:space="preserve"> важно обеспечить возможность капитализации и приобретения основных средств.</w:t>
            </w:r>
            <w:r>
              <w:t xml:space="preserve"> </w:t>
            </w:r>
            <w:r w:rsidR="003E56DB">
              <w:rPr>
                <w:i/>
              </w:rPr>
              <w:t>РИА Новости, ТАСС</w:t>
            </w:r>
          </w:p>
          <w:p w:rsidR="00ED2150" w:rsidRPr="00503490" w:rsidRDefault="002556C3" w:rsidP="00ED2150">
            <w:pPr>
              <w:pStyle w:val="a9"/>
            </w:pPr>
            <w:hyperlink r:id="rId7" w:history="1">
              <w:r w:rsidR="00ED2150" w:rsidRPr="00503490">
                <w:t>Минсельхоз заявил, что Россия полностью обеспечивает себя мясом птицы</w:t>
              </w:r>
            </w:hyperlink>
          </w:p>
          <w:p w:rsidR="00ED2150" w:rsidRPr="00ED2150" w:rsidRDefault="00ED2150" w:rsidP="00ED2150">
            <w:r w:rsidRPr="00ED2150">
              <w:t xml:space="preserve">Как сообщает ведомство, в настоящее время РФ полностью обеспечивает себя мясом птицы. С января по март производство птицы на убой (в живом весе) во всех категориях хозяйств выросло на 9%, яиц - на 2,3%. При этом основным драйвером в этом сегменте являются </w:t>
            </w:r>
            <w:proofErr w:type="spellStart"/>
            <w:r w:rsidRPr="00ED2150">
              <w:t>сельхозорганизации</w:t>
            </w:r>
            <w:proofErr w:type="spellEnd"/>
            <w:r w:rsidRPr="00ED2150">
              <w:t xml:space="preserve">, которые за три месяца увеличили производство птицы на 9,5%, до 1,58 млн тонн, яиц - на 3%, до 9,1 млрд штук. "В 2022 году </w:t>
            </w:r>
            <w:r w:rsidRPr="00ED2150">
              <w:rPr>
                <w:b/>
              </w:rPr>
              <w:t>Минсельхоз</w:t>
            </w:r>
            <w:r w:rsidRPr="00ED2150">
              <w:t xml:space="preserve"> ожидает сохранения положительной динамики в отрасли", - говорится в сообщении.</w:t>
            </w:r>
          </w:p>
          <w:p w:rsidR="00ED2150" w:rsidRPr="00ED2150" w:rsidRDefault="00ED2150" w:rsidP="00ED2150">
            <w:r w:rsidRPr="00ED2150">
              <w:t>Как считают в ведомстве, устойчивое развитие птицеводства в РФ обусловлено значительными инвестициями и государственной поддержкой этого сегмента. За последние 5 лет в стране введено более 100 современных технологичных птицефабрик. Это позволило нарастить производство птицы на 56% - с 4,3 млн тонн в 2011 году до 6,7 млн тонн в 2021 году, яиц - до 44,9 млрд штук.</w:t>
            </w:r>
          </w:p>
          <w:p w:rsidR="00ED2150" w:rsidRPr="00ED2150" w:rsidRDefault="00ED2150" w:rsidP="00ED2150">
            <w:r w:rsidRPr="00ED2150">
              <w:t xml:space="preserve">На разных этапах реализации находится еще около 30 инвестиционных проектов, четыре из которых будут введены в текущем году. </w:t>
            </w:r>
            <w:r w:rsidRPr="00ED2150">
              <w:rPr>
                <w:i/>
              </w:rPr>
              <w:t>Интерфакс,</w:t>
            </w:r>
            <w:r>
              <w:t xml:space="preserve"> </w:t>
            </w:r>
            <w:r w:rsidRPr="00657450">
              <w:rPr>
                <w:i/>
              </w:rPr>
              <w:t>ТАСС</w:t>
            </w:r>
            <w:r>
              <w:rPr>
                <w:i/>
              </w:rPr>
              <w:t xml:space="preserve">, </w:t>
            </w:r>
            <w:r w:rsidR="006F6417">
              <w:rPr>
                <w:i/>
              </w:rPr>
              <w:t xml:space="preserve">РИА Новости, </w:t>
            </w:r>
            <w:r>
              <w:rPr>
                <w:i/>
              </w:rPr>
              <w:t xml:space="preserve">Аргументы и Факты, </w:t>
            </w:r>
            <w:r w:rsidRPr="00C978C1">
              <w:rPr>
                <w:i/>
              </w:rPr>
              <w:t>AK&amp;M</w:t>
            </w:r>
            <w:r>
              <w:rPr>
                <w:i/>
              </w:rPr>
              <w:t xml:space="preserve">, </w:t>
            </w:r>
            <w:r w:rsidRPr="00C978C1">
              <w:rPr>
                <w:i/>
              </w:rPr>
              <w:t>Emeat.ru</w:t>
            </w:r>
          </w:p>
          <w:p w:rsidR="00ED2150" w:rsidRDefault="00ED2150" w:rsidP="00ED2150">
            <w:pPr>
              <w:rPr>
                <w:i/>
              </w:rPr>
            </w:pPr>
          </w:p>
          <w:p w:rsidR="00ED2150" w:rsidRPr="00ED2150" w:rsidRDefault="00ED2150" w:rsidP="00ED2150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ED2150">
              <w:rPr>
                <w:rFonts w:cs="Arial"/>
                <w:b/>
                <w:caps/>
                <w:color w:val="000000" w:themeColor="text1"/>
                <w:szCs w:val="18"/>
              </w:rPr>
              <w:t>Кредитование сезонных полевых работ в АПК РФ к 20 апреля увеличилось почти на 29% - Минсельхоз</w:t>
            </w:r>
          </w:p>
          <w:p w:rsidR="00ED2150" w:rsidRPr="00ED2150" w:rsidRDefault="00ED2150" w:rsidP="00ED2150">
            <w:r w:rsidRPr="00ED2150">
              <w:t>Кредитование сезонных полевых работ в АПК РФ к 20 апреля по сравнению с аналогичной датой прошлого года увеличилось на 28,9% и достигло 297,5 млрд рублей, сообща</w:t>
            </w:r>
            <w:r>
              <w:t xml:space="preserve">ет </w:t>
            </w:r>
            <w:r w:rsidRPr="006F6417">
              <w:rPr>
                <w:b/>
              </w:rPr>
              <w:t>Минсельхоз.</w:t>
            </w:r>
          </w:p>
          <w:p w:rsidR="00C8396B" w:rsidRDefault="00ED2150" w:rsidP="00ED2150">
            <w:r w:rsidRPr="00ED2150">
              <w:t xml:space="preserve">В частности, </w:t>
            </w:r>
            <w:proofErr w:type="spellStart"/>
            <w:r w:rsidRPr="00ED2150">
              <w:t>Россельхозбанк</w:t>
            </w:r>
            <w:proofErr w:type="spellEnd"/>
            <w:r w:rsidRPr="00ED2150">
              <w:t xml:space="preserve"> выдал 197,6 млрд рублей (185,3 млрд</w:t>
            </w:r>
            <w:r>
              <w:t xml:space="preserve"> рублей годом ранее), Сбербанк</w:t>
            </w:r>
            <w:r w:rsidRPr="00ED2150">
              <w:t xml:space="preserve"> - 99,9 </w:t>
            </w:r>
            <w:r>
              <w:t xml:space="preserve">млрд рублей (45,6 млрд рублей). </w:t>
            </w:r>
            <w:r w:rsidRPr="00ED2150">
              <w:rPr>
                <w:i/>
              </w:rPr>
              <w:t>Интерфакс</w:t>
            </w: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3E56DB" w:rsidRPr="003E56DB" w:rsidRDefault="003E56DB" w:rsidP="003E56DB">
      <w:pPr>
        <w:rPr>
          <w:rFonts w:cs="Arial"/>
          <w:b/>
          <w:caps/>
          <w:color w:val="000000" w:themeColor="text1"/>
          <w:szCs w:val="18"/>
        </w:rPr>
      </w:pPr>
      <w:bookmarkStart w:id="8" w:name="SEC_3"/>
      <w:r w:rsidRPr="003E56DB">
        <w:rPr>
          <w:rFonts w:cs="Arial"/>
          <w:b/>
          <w:caps/>
          <w:color w:val="000000" w:themeColor="text1"/>
          <w:szCs w:val="18"/>
        </w:rPr>
        <w:lastRenderedPageBreak/>
        <w:t>Минсельхоз РФ разработает программу по развитию селекции и семеноводства кукурузы</w:t>
      </w:r>
    </w:p>
    <w:p w:rsidR="003E56DB" w:rsidRPr="003E56DB" w:rsidRDefault="003E56DB" w:rsidP="003E56DB">
      <w:r w:rsidRPr="003E56DB">
        <w:t xml:space="preserve">Минсельхоз РФ разработает программу по развитию селекции и семеноводства кукурузы с тем, чтобы ослабить зависимость производства этой </w:t>
      </w:r>
      <w:proofErr w:type="spellStart"/>
      <w:r w:rsidRPr="003E56DB">
        <w:t>сельхозкультуры</w:t>
      </w:r>
      <w:proofErr w:type="spellEnd"/>
      <w:r w:rsidRPr="003E56DB">
        <w:t xml:space="preserve"> от импортных семян.</w:t>
      </w:r>
    </w:p>
    <w:p w:rsidR="003E56DB" w:rsidRPr="003E56DB" w:rsidRDefault="003E56DB" w:rsidP="003E56DB">
      <w:r w:rsidRPr="003E56DB">
        <w:t>Согласно пояснительной записке к соответствующему проекту постановления правительства (размещено на сайте подготовки правовых актов), документ будет включен в качестве подпрограммы в Федеральную научно-техническую программу развития сельского хозяйства на 2017-2030 годы и направлен "на обеспечение устойчивого роста объемов промышленного производства и реализации высококачественных семян конкурентоспособных гибридов кукурузы отечественной селекции, созданных на ос</w:t>
      </w:r>
      <w:r>
        <w:t>нове инновационных технологий".</w:t>
      </w:r>
    </w:p>
    <w:p w:rsidR="003E56DB" w:rsidRPr="003E56DB" w:rsidRDefault="003E56DB" w:rsidP="003E56DB">
      <w:r w:rsidRPr="003E56DB">
        <w:t>Как отмечается в пояснительной записке, доля новых гибридов кукурузы отечественной селекции, применяемых в производстве кукурузы в настоящее время, составляет менее 40%, тогда как мировой опыт показывает, что для сбалансированного развития комбикормовой и пищевой промышленности соотношение собственного производства семян сортов и гибридов кукурузы и их импорта должно быть в пределах 50% на 50%.</w:t>
      </w:r>
    </w:p>
    <w:p w:rsidR="003E56DB" w:rsidRDefault="003E56DB" w:rsidP="003E56DB">
      <w:pPr>
        <w:rPr>
          <w:i/>
        </w:rPr>
      </w:pPr>
      <w:r w:rsidRPr="003E56DB">
        <w:t xml:space="preserve">Предполагается, что реализация подпрограммы позволит создать не менее 25 новых конкурентоспособных гибридов кукурузы, довести доли высеянных семян гибридов кукурузы, произведенных и реализованных в рамках подпрограммы, не менее чем до 45% в общем объеме высеянных семян кукурузы по отношению к базовому 2022 году, обеспечить использование семян новых гибридов кукурузы отечественной селекции не менее чем в 30% </w:t>
      </w:r>
      <w:proofErr w:type="spellStart"/>
      <w:r w:rsidRPr="003E56DB">
        <w:t>сельхозорганизаций</w:t>
      </w:r>
      <w:proofErr w:type="spellEnd"/>
      <w:r w:rsidRPr="003E56DB">
        <w:t xml:space="preserve">, высевающих кукурузу. </w:t>
      </w:r>
      <w:r w:rsidRPr="003E56DB">
        <w:rPr>
          <w:i/>
        </w:rPr>
        <w:t xml:space="preserve">Интерфакс, РИА Новости, </w:t>
      </w:r>
      <w:proofErr w:type="spellStart"/>
      <w:r w:rsidRPr="003E56DB">
        <w:rPr>
          <w:i/>
        </w:rPr>
        <w:t>Прайм</w:t>
      </w:r>
      <w:proofErr w:type="spellEnd"/>
      <w:r w:rsidRPr="003E56DB">
        <w:rPr>
          <w:i/>
        </w:rPr>
        <w:t>, Коммерсантъ</w:t>
      </w:r>
    </w:p>
    <w:p w:rsidR="00CC7B60" w:rsidRDefault="00CC7B60" w:rsidP="00CC7B60"/>
    <w:p w:rsidR="00CC7B60" w:rsidRDefault="00CC7B60" w:rsidP="00CC7B60">
      <w:pPr>
        <w:rPr>
          <w:rFonts w:cs="Arial"/>
          <w:b/>
          <w:caps/>
          <w:color w:val="000000" w:themeColor="text1"/>
          <w:szCs w:val="18"/>
        </w:rPr>
      </w:pPr>
      <w:r w:rsidRPr="00CC7B60">
        <w:t>"</w:t>
      </w:r>
      <w:r w:rsidRPr="00CC7B60">
        <w:rPr>
          <w:rFonts w:cs="Arial"/>
          <w:b/>
          <w:caps/>
          <w:color w:val="000000" w:themeColor="text1"/>
          <w:szCs w:val="18"/>
        </w:rPr>
        <w:t>Агроэкспорт" к 2024 году прогнозирует рост экспорта из Росси</w:t>
      </w:r>
      <w:r>
        <w:rPr>
          <w:rFonts w:cs="Arial"/>
          <w:b/>
          <w:caps/>
          <w:color w:val="000000" w:themeColor="text1"/>
          <w:szCs w:val="18"/>
        </w:rPr>
        <w:t>и продукции АПК почти на 19%</w:t>
      </w:r>
    </w:p>
    <w:p w:rsidR="00CC7B60" w:rsidRPr="00CC7B60" w:rsidRDefault="00CC7B60" w:rsidP="00CC7B60">
      <w:pPr>
        <w:rPr>
          <w:rFonts w:cs="Arial"/>
          <w:b/>
          <w:caps/>
          <w:color w:val="000000" w:themeColor="text1"/>
          <w:szCs w:val="18"/>
        </w:rPr>
      </w:pPr>
      <w:r w:rsidRPr="00CC7B60">
        <w:t>Реализация экспортных проектов агропромышленного комплекса (АПК) России, объем инвестиций в которые составляет 1,212 триллиона рублей, позволит к 2024 году увеличить экспорт продукции на 18,8% по сравнению с показателем 2021 года, говорится в материалах Федерального центра развития экспорта продукции агропромышленного комплекса (ФГБУ "</w:t>
      </w:r>
      <w:proofErr w:type="spellStart"/>
      <w:r w:rsidRPr="00CC7B60">
        <w:t>Агроэкспорт</w:t>
      </w:r>
      <w:proofErr w:type="spellEnd"/>
      <w:r w:rsidRPr="00CC7B60">
        <w:t>") при Минсельхозе.</w:t>
      </w:r>
      <w:r w:rsidR="00FA4581">
        <w:t xml:space="preserve"> </w:t>
      </w:r>
      <w:r w:rsidR="00FA4581" w:rsidRPr="00FA4581">
        <w:rPr>
          <w:i/>
        </w:rPr>
        <w:t>РИА Новости</w:t>
      </w:r>
    </w:p>
    <w:p w:rsidR="00FA4581" w:rsidRDefault="00FA4581" w:rsidP="006C6588">
      <w:pPr>
        <w:pStyle w:val="a8"/>
        <w:outlineLvl w:val="0"/>
      </w:pPr>
    </w:p>
    <w:p w:rsidR="009549EC" w:rsidRDefault="00F62502" w:rsidP="006C6588">
      <w:pPr>
        <w:pStyle w:val="a8"/>
        <w:outlineLvl w:val="0"/>
      </w:pPr>
      <w:r>
        <w:t>Государственное регулирование отрасли АПК</w:t>
      </w:r>
    </w:p>
    <w:p w:rsidR="00FA4581" w:rsidRDefault="00FA4581" w:rsidP="00E808EB">
      <w:pPr>
        <w:rPr>
          <w:i/>
        </w:rPr>
      </w:pPr>
    </w:p>
    <w:p w:rsidR="00FA4581" w:rsidRDefault="00FA4581" w:rsidP="00FA4581">
      <w:pPr>
        <w:rPr>
          <w:rFonts w:cs="Arial"/>
          <w:b/>
          <w:caps/>
          <w:color w:val="000000" w:themeColor="text1"/>
          <w:szCs w:val="18"/>
        </w:rPr>
      </w:pPr>
      <w:r w:rsidRPr="00FA4581">
        <w:rPr>
          <w:rFonts w:cs="Arial"/>
          <w:b/>
          <w:caps/>
          <w:color w:val="000000" w:themeColor="text1"/>
          <w:szCs w:val="18"/>
        </w:rPr>
        <w:t>Кабмин РФ скорректировал правила предоставления субсидий регионам на помощь аграриям</w:t>
      </w:r>
    </w:p>
    <w:p w:rsidR="00FA4581" w:rsidRDefault="00FA4581" w:rsidP="00FA4581">
      <w:r w:rsidRPr="00FA4581">
        <w:t xml:space="preserve">Правительство России скорректировало правила предоставления субсидий регионам на помощь аграриям, решение направлено на поддержку производителей и потребителей, заявил премьер-министр Михаил </w:t>
      </w:r>
      <w:proofErr w:type="spellStart"/>
      <w:r w:rsidRPr="00FA4581">
        <w:t>Мишустин</w:t>
      </w:r>
      <w:proofErr w:type="spellEnd"/>
      <w:r w:rsidRPr="00FA4581">
        <w:t xml:space="preserve"> на сов</w:t>
      </w:r>
      <w:r>
        <w:t>ещании со своими заместителями.</w:t>
      </w:r>
    </w:p>
    <w:p w:rsidR="00FA4581" w:rsidRDefault="00FA4581" w:rsidP="00FA4581">
      <w:proofErr w:type="spellStart"/>
      <w:r w:rsidRPr="00FA4581">
        <w:t>Мишустин</w:t>
      </w:r>
      <w:proofErr w:type="spellEnd"/>
      <w:r w:rsidRPr="00FA4581">
        <w:t xml:space="preserve"> пояснил, что на поддержку сможет рассчитывать не только малый и средний бизнес, но и владельцы личных подсобных хозяйств. </w:t>
      </w:r>
    </w:p>
    <w:p w:rsidR="00FA4581" w:rsidRDefault="00FA4581" w:rsidP="00FA4581">
      <w:pPr>
        <w:rPr>
          <w:i/>
        </w:rPr>
      </w:pPr>
      <w:r w:rsidRPr="00FA4581">
        <w:t xml:space="preserve">"Размер субсидии для конкретного предприятия или человека, ведущего личное подсобное хозяйство, будет зависеть от объема произведенной продукции", - добавили в правительстве. Новые возможности появятся и у агробизнеса, который строит или модернизирует хранилища для овощей, указал </w:t>
      </w:r>
      <w:proofErr w:type="spellStart"/>
      <w:r w:rsidRPr="00FA4581">
        <w:t>Мишустин</w:t>
      </w:r>
      <w:proofErr w:type="spellEnd"/>
      <w:r w:rsidRPr="00FA4581">
        <w:t xml:space="preserve"> на совещании. "Цены на материалы и оборудование выросли, что осложняет завершение работы в срок. Поэтому повысим уровень возмещения затрат на эти цели до 25% фактической стоимости", - проинформировал председатель правительства. Отбором проектов будет заниматься специальная комиссия Минсельхоза, пояснили в </w:t>
      </w:r>
      <w:proofErr w:type="spellStart"/>
      <w:r w:rsidRPr="00FA4581">
        <w:t>кабмине</w:t>
      </w:r>
      <w:proofErr w:type="spellEnd"/>
      <w:r w:rsidRPr="00FA4581">
        <w:t>. Новая норма о повышенном субсидировании строительства и модернизации овощехранилищ начнет действовать с 1 января 2024 года.</w:t>
      </w:r>
      <w:r>
        <w:t xml:space="preserve"> </w:t>
      </w:r>
      <w:r w:rsidRPr="00FA4581">
        <w:rPr>
          <w:i/>
        </w:rPr>
        <w:t>ТАСС</w:t>
      </w:r>
    </w:p>
    <w:p w:rsidR="004265DF" w:rsidRDefault="004265DF" w:rsidP="00FA4581">
      <w:pPr>
        <w:rPr>
          <w:i/>
        </w:rPr>
      </w:pPr>
    </w:p>
    <w:p w:rsidR="004265DF" w:rsidRPr="004265DF" w:rsidRDefault="004265DF" w:rsidP="004265DF">
      <w:pPr>
        <w:rPr>
          <w:rFonts w:cs="Arial"/>
          <w:b/>
          <w:caps/>
          <w:color w:val="000000" w:themeColor="text1"/>
          <w:szCs w:val="18"/>
        </w:rPr>
      </w:pPr>
      <w:r w:rsidRPr="004265DF">
        <w:rPr>
          <w:rFonts w:cs="Arial"/>
          <w:b/>
          <w:caps/>
          <w:color w:val="000000" w:themeColor="text1"/>
          <w:szCs w:val="18"/>
        </w:rPr>
        <w:t xml:space="preserve">Трутнев поручил подготовить комплекс мер по обеспеченности регионов ДФО сельхозпродукцией </w:t>
      </w:r>
    </w:p>
    <w:p w:rsidR="004265DF" w:rsidRDefault="004265DF" w:rsidP="004265DF">
      <w:r>
        <w:t>Вице-премьер - полпред президента РФ на Дальнем Востоке Юрий Трутнев поручил проанализировать самообеспеченность каждого из дальневосточных регионов сельскохозяйственной продукцией и подготовить соответствующий комплекс мер поддержки.</w:t>
      </w:r>
    </w:p>
    <w:p w:rsidR="004265DF" w:rsidRDefault="004265DF" w:rsidP="004265DF">
      <w:r>
        <w:t xml:space="preserve">"Минэкономразвития России, </w:t>
      </w:r>
      <w:proofErr w:type="spellStart"/>
      <w:r>
        <w:t>Минвостокразвития</w:t>
      </w:r>
      <w:proofErr w:type="spellEnd"/>
      <w:r>
        <w:t xml:space="preserve"> России поручено совместно с дальневосточными регионами проанализировать уровень самообеспеченности сельскохозяйственной продукцией, сформировать и представить в правительство РФ комплекс необходимых мер поддержки с учетом особенностей регионов и ситуации в конкретных отраслях", - говорится в </w:t>
      </w:r>
      <w:proofErr w:type="spellStart"/>
      <w:r>
        <w:t>Telegram</w:t>
      </w:r>
      <w:proofErr w:type="spellEnd"/>
      <w:r>
        <w:t>-канале полпреда.</w:t>
      </w:r>
    </w:p>
    <w:p w:rsidR="004265DF" w:rsidRPr="00FA4581" w:rsidRDefault="004265DF" w:rsidP="004265DF">
      <w:r>
        <w:t xml:space="preserve">Кроме того, </w:t>
      </w:r>
      <w:proofErr w:type="spellStart"/>
      <w:r>
        <w:t>Минпромторгу</w:t>
      </w:r>
      <w:proofErr w:type="spellEnd"/>
      <w:r>
        <w:t xml:space="preserve"> России поручено совместно с руководством Хабаровского края проработать меры государственной поддержки промышленных предприятий. </w:t>
      </w:r>
      <w:r w:rsidRPr="004265DF">
        <w:rPr>
          <w:i/>
        </w:rPr>
        <w:t>РИА Новости</w:t>
      </w:r>
      <w:r>
        <w:t xml:space="preserve"> 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9549EC" w:rsidRPr="009549EC" w:rsidRDefault="002556C3" w:rsidP="009549EC">
      <w:pPr>
        <w:pStyle w:val="a9"/>
      </w:pPr>
      <w:hyperlink r:id="rId10" w:history="1">
        <w:r w:rsidR="009549EC" w:rsidRPr="009549EC">
          <w:t>С 25 апреля для Бразилии расширяется перечень продукции, которую они имеют право поставлять в Россию</w:t>
        </w:r>
      </w:hyperlink>
    </w:p>
    <w:p w:rsidR="009549EC" w:rsidRPr="009B0CF1" w:rsidRDefault="009549EC" w:rsidP="009549EC">
      <w:proofErr w:type="spellStart"/>
      <w:r w:rsidRPr="009549EC">
        <w:rPr>
          <w:b/>
        </w:rPr>
        <w:t>Россельхознадзор</w:t>
      </w:r>
      <w:proofErr w:type="spellEnd"/>
      <w:r>
        <w:t xml:space="preserve"> разрешил 10 предприятиям Бразилии поставлять в Россию муку животного происхождения для производства кормов, следует из релиза ведомства.</w:t>
      </w:r>
      <w:r w:rsidR="009B0CF1">
        <w:t xml:space="preserve"> </w:t>
      </w:r>
      <w:r w:rsidR="009B0CF1" w:rsidRPr="009B0CF1">
        <w:t>"С 25 апреля 2022 года для 10 компаний Бразилии расширяется перечень продукции, которую они имеют право поставлять в Россию. В частности, в него добавлена мука животного происхождения, которая используется при производстве кормов", — говорится в сообщении.</w:t>
      </w:r>
      <w:r w:rsidR="009B0CF1">
        <w:t xml:space="preserve"> </w:t>
      </w:r>
      <w:r w:rsidRPr="002F0E6D">
        <w:rPr>
          <w:i/>
        </w:rPr>
        <w:t>ПРАЙМ</w:t>
      </w:r>
    </w:p>
    <w:p w:rsidR="009549EC" w:rsidRPr="009549EC" w:rsidRDefault="002556C3" w:rsidP="009549EC">
      <w:pPr>
        <w:pStyle w:val="a9"/>
      </w:pPr>
      <w:hyperlink r:id="rId11" w:history="1">
        <w:r w:rsidR="009549EC" w:rsidRPr="009549EC">
          <w:t>В России выросло производство рыбной продукции глубокой переработки</w:t>
        </w:r>
      </w:hyperlink>
    </w:p>
    <w:p w:rsidR="009549EC" w:rsidRDefault="009549EC" w:rsidP="009549EC">
      <w:r>
        <w:t xml:space="preserve">В период с января по февраль 2022 года в России существенно выросло производство рыбной продукции глубокой переработки. Об этом сообщает пресс-служба </w:t>
      </w:r>
      <w:proofErr w:type="spellStart"/>
      <w:r w:rsidRPr="009549EC">
        <w:rPr>
          <w:b/>
        </w:rPr>
        <w:t>Росрыболовства</w:t>
      </w:r>
      <w:proofErr w:type="spellEnd"/>
      <w:r>
        <w:t>.</w:t>
      </w:r>
    </w:p>
    <w:p w:rsidR="009549EC" w:rsidRPr="002F0E6D" w:rsidRDefault="009549EC" w:rsidP="009549EC">
      <w:pPr>
        <w:rPr>
          <w:i/>
        </w:rPr>
      </w:pPr>
      <w:r>
        <w:t xml:space="preserve">Также уточняется, что производство рыбного филе выросло за указанный период на 48,5%и было произведено 65 тыс. тонн продукции, что на 21,2 тыс. тонн больше к уровню в аналогичном периоде 2021 года. </w:t>
      </w:r>
      <w:r w:rsidRPr="002F0E6D">
        <w:rPr>
          <w:i/>
        </w:rPr>
        <w:t xml:space="preserve">ИА </w:t>
      </w:r>
      <w:proofErr w:type="spellStart"/>
      <w:r w:rsidRPr="002F0E6D">
        <w:rPr>
          <w:i/>
        </w:rPr>
        <w:t>Regnum</w:t>
      </w:r>
      <w:proofErr w:type="spellEnd"/>
    </w:p>
    <w:p w:rsidR="00773B17" w:rsidRDefault="00773B17" w:rsidP="00773B17">
      <w:pPr>
        <w:rPr>
          <w:rFonts w:cs="Arial"/>
          <w:b/>
          <w:caps/>
          <w:color w:val="000000" w:themeColor="text1"/>
          <w:szCs w:val="18"/>
        </w:rPr>
      </w:pPr>
    </w:p>
    <w:p w:rsidR="00773B17" w:rsidRPr="00773B17" w:rsidRDefault="00773B17" w:rsidP="00773B17">
      <w:pPr>
        <w:rPr>
          <w:rFonts w:cs="Arial"/>
          <w:b/>
          <w:caps/>
          <w:color w:val="000000" w:themeColor="text1"/>
          <w:szCs w:val="18"/>
        </w:rPr>
      </w:pPr>
      <w:r w:rsidRPr="00773B17">
        <w:rPr>
          <w:rFonts w:cs="Arial"/>
          <w:b/>
          <w:caps/>
          <w:color w:val="000000" w:themeColor="text1"/>
          <w:szCs w:val="18"/>
        </w:rPr>
        <w:t xml:space="preserve">В МИД РФ заявляют о готовности агробизнеса выполнять обязательства </w:t>
      </w:r>
      <w:r>
        <w:rPr>
          <w:rFonts w:cs="Arial"/>
          <w:b/>
          <w:caps/>
          <w:color w:val="000000" w:themeColor="text1"/>
          <w:szCs w:val="18"/>
        </w:rPr>
        <w:t>по поставкам зерновых в Египет</w:t>
      </w:r>
      <w:r w:rsidRPr="00773B17">
        <w:rPr>
          <w:rFonts w:cs="Arial"/>
          <w:b/>
          <w:caps/>
          <w:color w:val="000000" w:themeColor="text1"/>
          <w:szCs w:val="18"/>
        </w:rPr>
        <w:t xml:space="preserve">  </w:t>
      </w:r>
    </w:p>
    <w:p w:rsidR="00773B17" w:rsidRPr="00773B17" w:rsidRDefault="00773B17" w:rsidP="00773B17">
      <w:r w:rsidRPr="00773B17">
        <w:t>Российские экспортеры намерены полностью выполнять свои обязательства по контрактам на поставки пшеницы и других зерновых в Египет, несмотря на трудности, вызванные западными санкциями, заявил директор департамента Ближнего Востока и Северной Африки (ДБВСА) МИД России Алекса</w:t>
      </w:r>
      <w:r>
        <w:t xml:space="preserve">ндр </w:t>
      </w:r>
      <w:proofErr w:type="spellStart"/>
      <w:r>
        <w:t>Кинщак</w:t>
      </w:r>
      <w:proofErr w:type="spellEnd"/>
      <w:r>
        <w:t>.</w:t>
      </w:r>
    </w:p>
    <w:p w:rsidR="00773B17" w:rsidRPr="00773B17" w:rsidRDefault="00773B17" w:rsidP="00773B17">
      <w:r w:rsidRPr="00773B17">
        <w:t>Отвечая на вопрос о влиянии санкций Запада на поставки российской пшеницы на зарубежные рынки, в частности в Египет и Сирию, дипломат отметил, что эти "нелегитимные и безответственные действия западных стран уже привели к нарушению существующих логистических цепочек и затруднениям в осуществлении плат</w:t>
      </w:r>
      <w:r>
        <w:t>ежей за экспортируемые товары".</w:t>
      </w:r>
    </w:p>
    <w:p w:rsidR="00773B17" w:rsidRPr="00773B17" w:rsidRDefault="00773B17" w:rsidP="00773B17">
      <w:r w:rsidRPr="00773B17">
        <w:t>"В настоящее время логистические и финансовые аспекты взаимодействия с египетскими партнерами в этой сфере обсуждаются в рамках прямых контактов руководства Минсельхоза России и профильных ведомств АРЕ", - сообщил директор ДБВСА.</w:t>
      </w:r>
      <w:r>
        <w:t xml:space="preserve"> </w:t>
      </w:r>
      <w:r w:rsidRPr="00773B17">
        <w:rPr>
          <w:i/>
        </w:rPr>
        <w:t>Интерфакс</w:t>
      </w:r>
    </w:p>
    <w:p w:rsidR="00572E29" w:rsidRPr="009549EC" w:rsidRDefault="002556C3" w:rsidP="00572E29">
      <w:pPr>
        <w:pStyle w:val="a9"/>
      </w:pPr>
      <w:hyperlink r:id="rId12" w:history="1">
        <w:r w:rsidR="00572E29" w:rsidRPr="009549EC">
          <w:t>Объем рынка органики в России по итогам 2022 года может превысить 14 млрд рублей</w:t>
        </w:r>
      </w:hyperlink>
    </w:p>
    <w:p w:rsidR="00572E29" w:rsidRDefault="00572E29" w:rsidP="00572E29">
      <w:r>
        <w:t xml:space="preserve">Объем рынка органической продукции в России по итогам 2022 года может превысить 14 млрд рублей против 10-12 млрд рублей в 2021 году. К такому выводу пришли эксперты </w:t>
      </w:r>
      <w:proofErr w:type="spellStart"/>
      <w:r>
        <w:t>Россельхозбанка</w:t>
      </w:r>
      <w:proofErr w:type="spellEnd"/>
      <w:r>
        <w:t xml:space="preserve">. </w:t>
      </w:r>
    </w:p>
    <w:p w:rsidR="00572E29" w:rsidRPr="00572E29" w:rsidRDefault="00572E29" w:rsidP="00572E29">
      <w:r>
        <w:t>«</w:t>
      </w:r>
      <w:r w:rsidRPr="00572E29">
        <w:t>Ключевыми факторами такого роста станет эффект низкой базы, законодательное оформление рынка и популяризация</w:t>
      </w:r>
      <w:r>
        <w:t xml:space="preserve"> культуры потребления «органики»</w:t>
      </w:r>
      <w:r w:rsidRPr="00572E29">
        <w:t>,</w:t>
      </w:r>
      <w:r>
        <w:t xml:space="preserve"> - отмечает руководитель фонда «Органика» </w:t>
      </w:r>
      <w:proofErr w:type="spellStart"/>
      <w:r w:rsidRPr="00572E29">
        <w:t>Россельхозбанка</w:t>
      </w:r>
      <w:proofErr w:type="spellEnd"/>
      <w:r w:rsidRPr="00572E29">
        <w:t xml:space="preserve"> Вячеслав Федюнин, слова которого приводятся в сообщении.</w:t>
      </w:r>
      <w:r>
        <w:t xml:space="preserve"> </w:t>
      </w:r>
      <w:r w:rsidRPr="00C978C1">
        <w:rPr>
          <w:i/>
        </w:rPr>
        <w:t>ТАСС</w:t>
      </w:r>
    </w:p>
    <w:p w:rsidR="00B535C6" w:rsidRDefault="00B535C6" w:rsidP="00B535C6">
      <w:pPr>
        <w:rPr>
          <w:rFonts w:cs="Arial"/>
          <w:b/>
          <w:caps/>
          <w:color w:val="000000" w:themeColor="text1"/>
          <w:szCs w:val="18"/>
        </w:rPr>
      </w:pPr>
    </w:p>
    <w:p w:rsidR="00B535C6" w:rsidRPr="00B535C6" w:rsidRDefault="00B535C6" w:rsidP="00B535C6">
      <w:pPr>
        <w:rPr>
          <w:rFonts w:cs="Arial"/>
          <w:b/>
          <w:caps/>
          <w:color w:val="000000" w:themeColor="text1"/>
          <w:szCs w:val="18"/>
        </w:rPr>
      </w:pPr>
      <w:r w:rsidRPr="00B535C6">
        <w:rPr>
          <w:rFonts w:cs="Arial"/>
          <w:b/>
          <w:caps/>
          <w:color w:val="000000" w:themeColor="text1"/>
          <w:szCs w:val="18"/>
        </w:rPr>
        <w:t>С яблонь посыпались инвесторы</w:t>
      </w:r>
    </w:p>
    <w:p w:rsidR="00B535C6" w:rsidRPr="00B535C6" w:rsidRDefault="00B535C6" w:rsidP="00B535C6">
      <w:r w:rsidRPr="00B535C6">
        <w:t xml:space="preserve">Французские предприниматели, владеющие через швейцарскую </w:t>
      </w:r>
      <w:proofErr w:type="spellStart"/>
      <w:r w:rsidRPr="00B535C6">
        <w:t>Procuri</w:t>
      </w:r>
      <w:proofErr w:type="spellEnd"/>
      <w:r w:rsidRPr="00B535C6">
        <w:t xml:space="preserve"> S.A. совместно с </w:t>
      </w:r>
      <w:proofErr w:type="spellStart"/>
      <w:r w:rsidRPr="00B535C6">
        <w:t>Volga</w:t>
      </w:r>
      <w:proofErr w:type="spellEnd"/>
      <w:r w:rsidRPr="00B535C6">
        <w:t xml:space="preserve"> </w:t>
      </w:r>
      <w:proofErr w:type="spellStart"/>
      <w:r w:rsidRPr="00B535C6">
        <w:t>Group</w:t>
      </w:r>
      <w:proofErr w:type="spellEnd"/>
      <w:r w:rsidRPr="00B535C6">
        <w:t xml:space="preserve"> Геннадия Тимченко крупным производителем яблок «</w:t>
      </w:r>
      <w:proofErr w:type="spellStart"/>
      <w:r w:rsidRPr="00B535C6">
        <w:t>Алма</w:t>
      </w:r>
      <w:proofErr w:type="spellEnd"/>
      <w:r w:rsidRPr="00B535C6">
        <w:t xml:space="preserve"> Холдинг», начали поиск покупателей на свою долю. Продажа может быть связана с введением санкций ЕС в отношении господина Тимченко. Это один из самых привлекательных активов в секторе, где до сих пор высока доля импорта.</w:t>
      </w:r>
      <w:r w:rsidRPr="00B535C6">
        <w:rPr>
          <w:i/>
        </w:rPr>
        <w:t xml:space="preserve"> </w:t>
      </w:r>
      <w:r w:rsidRPr="002F0E6D">
        <w:rPr>
          <w:i/>
        </w:rPr>
        <w:t>Коммерсантъ</w:t>
      </w:r>
    </w:p>
    <w:p w:rsidR="009B0CF1" w:rsidRPr="009549EC" w:rsidRDefault="002556C3" w:rsidP="00B535C6">
      <w:pPr>
        <w:pStyle w:val="a9"/>
      </w:pPr>
      <w:hyperlink r:id="rId13" w:history="1">
        <w:r w:rsidR="009B0CF1" w:rsidRPr="009549EC">
          <w:t>"Степь" раскинулась по земле</w:t>
        </w:r>
      </w:hyperlink>
    </w:p>
    <w:p w:rsidR="009B0CF1" w:rsidRPr="009B0CF1" w:rsidRDefault="009B0CF1" w:rsidP="009B0CF1">
      <w:r>
        <w:t>Связанные с агрохолдингом "Степь" структуры выкупили у банка "Траст" права требования к ГК "</w:t>
      </w:r>
      <w:r w:rsidRPr="009549EC">
        <w:rPr>
          <w:b/>
        </w:rPr>
        <w:t>Зерно</w:t>
      </w:r>
      <w:r>
        <w:t xml:space="preserve"> Дон", которая контролирует около 64 тыс. га пашни в Ростовской области. Это позволит "Степи", арендовавшей земли "</w:t>
      </w:r>
      <w:r w:rsidRPr="009549EC">
        <w:rPr>
          <w:b/>
        </w:rPr>
        <w:t>Зерно</w:t>
      </w:r>
      <w:r>
        <w:t xml:space="preserve"> Дон", обеспечить сохранность активов и не допустить их продажу стороннему инвестору. Выращивание </w:t>
      </w:r>
      <w:r w:rsidRPr="009549EC">
        <w:rPr>
          <w:b/>
        </w:rPr>
        <w:t>зерна</w:t>
      </w:r>
      <w:r>
        <w:t xml:space="preserve"> остается привлекательным бизнесом и число сделок с землей в этом году может вырасти, ожидают эксперты. </w:t>
      </w:r>
      <w:r w:rsidRPr="002F0E6D">
        <w:rPr>
          <w:i/>
        </w:rPr>
        <w:t>Коммерсантъ</w:t>
      </w:r>
    </w:p>
    <w:p w:rsidR="00FA0D45" w:rsidRPr="009549EC" w:rsidRDefault="002556C3" w:rsidP="00FA0D45">
      <w:pPr>
        <w:pStyle w:val="a9"/>
      </w:pPr>
      <w:hyperlink r:id="rId14" w:history="1">
        <w:r w:rsidR="00FA0D45" w:rsidRPr="009549EC">
          <w:t>"Вне зависимости от происходящего качество товаров ухудшаться не должно"</w:t>
        </w:r>
      </w:hyperlink>
    </w:p>
    <w:p w:rsidR="00FA0D45" w:rsidRPr="00AA22BE" w:rsidRDefault="00FA0D45" w:rsidP="00FA0D45">
      <w:proofErr w:type="spellStart"/>
      <w:r>
        <w:t>Роскачество</w:t>
      </w:r>
      <w:proofErr w:type="spellEnd"/>
      <w:r>
        <w:t xml:space="preserve"> планирует в течение года проверить продукты питания, которые входят в основную потребительскую корзину россиян. Цель - понять, повлияли ли санкции на происходящее на потребительском рынке и качество продуктов, которые едят россияне, заявил в интервью "Известиям" глава </w:t>
      </w:r>
      <w:proofErr w:type="spellStart"/>
      <w:r>
        <w:t>Роскачества</w:t>
      </w:r>
      <w:proofErr w:type="spellEnd"/>
      <w:r>
        <w:t xml:space="preserve"> Максим Протасов. За пять лет в низком ценовом сегменте продукции количество фальсификата снизилось в среднем с 75% до 30%. Сейчас, по его данным, целый ряд российских продуктов питания - например, мед - превосходит по качеству европейские, потому что в России более жесткие требования к производству. </w:t>
      </w:r>
      <w:r>
        <w:rPr>
          <w:i/>
        </w:rPr>
        <w:t xml:space="preserve">Известия </w:t>
      </w:r>
    </w:p>
    <w:p w:rsidR="001A4895" w:rsidRDefault="001A4895" w:rsidP="001A4895">
      <w:pPr>
        <w:rPr>
          <w:rFonts w:cs="Arial"/>
          <w:b/>
          <w:caps/>
          <w:color w:val="000000" w:themeColor="text1"/>
          <w:szCs w:val="18"/>
        </w:rPr>
      </w:pPr>
    </w:p>
    <w:p w:rsidR="001A4895" w:rsidRPr="001A4895" w:rsidRDefault="001A4895" w:rsidP="001A4895">
      <w:pPr>
        <w:rPr>
          <w:rFonts w:cs="Arial"/>
          <w:b/>
          <w:caps/>
          <w:color w:val="000000" w:themeColor="text1"/>
          <w:szCs w:val="18"/>
        </w:rPr>
      </w:pPr>
      <w:r w:rsidRPr="001A4895">
        <w:rPr>
          <w:rFonts w:cs="Arial"/>
          <w:b/>
          <w:caps/>
          <w:color w:val="000000" w:themeColor="text1"/>
          <w:szCs w:val="18"/>
        </w:rPr>
        <w:t>Эксперты посчитали долю фальсификата среди ветпрепаратов</w:t>
      </w:r>
    </w:p>
    <w:p w:rsidR="001A4895" w:rsidRPr="001A4895" w:rsidRDefault="001A4895" w:rsidP="001A4895">
      <w:r w:rsidRPr="001A4895">
        <w:t>Каждый четвертый препарат для животных в 2021 году был нелегальным, а общий объем фальсификата за год составил 53 млн штук. Об этом говорится в исследовании Высшей школы экономики.</w:t>
      </w:r>
    </w:p>
    <w:p w:rsidR="001A4895" w:rsidRPr="001A4895" w:rsidRDefault="001A4895" w:rsidP="001A4895">
      <w:r w:rsidRPr="001A4895">
        <w:t>В нем также отмечается, что прибыль добросовестных участников рынка при сокращении нелегального оборота на 50%, могла бы вырасти на 1,6-1,7 млрд рублей.</w:t>
      </w:r>
    </w:p>
    <w:p w:rsidR="001A4895" w:rsidRPr="001A4895" w:rsidRDefault="001A4895" w:rsidP="001A4895">
      <w:r w:rsidRPr="001A4895">
        <w:t>По словам председателя "Общественной потребительской инициативы" Олега Павлова, снизить долю фальсификата на рынке ветеринарных препаратов смогла бы обязательная маркировка, которая сегодня введена на лекарства для людей. "Важно, чтобы и препараты для животных были качественными, поскольку они используются в сельском хозяйстве", - заключил Павлов.</w:t>
      </w:r>
      <w:r w:rsidR="00773B17">
        <w:t xml:space="preserve"> </w:t>
      </w:r>
      <w:r w:rsidR="00773B17" w:rsidRPr="00773B17">
        <w:rPr>
          <w:i/>
        </w:rPr>
        <w:t>Российская газета</w:t>
      </w:r>
    </w:p>
    <w:p w:rsidR="00980E83" w:rsidRDefault="00980E83" w:rsidP="008D7EBF">
      <w:pPr>
        <w:rPr>
          <w:rFonts w:cs="Arial"/>
          <w:b/>
          <w:caps/>
          <w:color w:val="000000" w:themeColor="text1"/>
          <w:szCs w:val="18"/>
        </w:rPr>
      </w:pPr>
    </w:p>
    <w:p w:rsidR="008D7EBF" w:rsidRPr="008D7EBF" w:rsidRDefault="008D7EBF" w:rsidP="008D7EBF">
      <w:pPr>
        <w:rPr>
          <w:rFonts w:cs="Arial"/>
          <w:b/>
          <w:caps/>
          <w:color w:val="000000" w:themeColor="text1"/>
          <w:szCs w:val="18"/>
        </w:rPr>
      </w:pPr>
      <w:r w:rsidRPr="008D7EBF">
        <w:rPr>
          <w:rFonts w:cs="Arial"/>
          <w:b/>
          <w:caps/>
          <w:color w:val="000000" w:themeColor="text1"/>
          <w:szCs w:val="18"/>
        </w:rPr>
        <w:t>РФ теряет по $70 на тонне зерна из-за рисков при е</w:t>
      </w:r>
      <w:r w:rsidR="00B854C8">
        <w:rPr>
          <w:rFonts w:cs="Arial"/>
          <w:b/>
          <w:caps/>
          <w:color w:val="000000" w:themeColor="text1"/>
          <w:szCs w:val="18"/>
        </w:rPr>
        <w:t xml:space="preserve">го поставках на мировой рынок </w:t>
      </w:r>
    </w:p>
    <w:p w:rsidR="008D7EBF" w:rsidRDefault="008D7EBF" w:rsidP="008D7EBF">
      <w:r>
        <w:t xml:space="preserve">РФ в настоящее время теряет до $70 на тонне отправляемого за рубеж зерна из-за рисков при его поставках, сформировавшихся в последнее время, сообщил президент Российского зернового союза Аркадий </w:t>
      </w:r>
      <w:proofErr w:type="spellStart"/>
      <w:r>
        <w:t>Злочевский</w:t>
      </w:r>
      <w:proofErr w:type="spellEnd"/>
      <w:r>
        <w:t xml:space="preserve"> на пресс-конференции в понедельник в Москве.</w:t>
      </w:r>
    </w:p>
    <w:p w:rsidR="008D7EBF" w:rsidRDefault="008D7EBF" w:rsidP="008D7EBF">
      <w:r>
        <w:t>"Много проблем сейчас связано с логистикой. Фрахт сильно подорожал, очень сильно подорожала страховка этой перевозки. Все эти факторы привели к концентрации рисков при закупках нашего ресурса, - сказал он. - Это отразилось и на ценообразовании. У нас беспрецедентный за все времена наших поставок дисконт по отношению к европейским и американским ценам на зерно".</w:t>
      </w:r>
      <w:r w:rsidRPr="008D7EBF">
        <w:rPr>
          <w:i/>
        </w:rPr>
        <w:t xml:space="preserve"> </w:t>
      </w:r>
      <w:r w:rsidRPr="008A43D6">
        <w:rPr>
          <w:i/>
        </w:rPr>
        <w:t>Интерфакс</w:t>
      </w:r>
    </w:p>
    <w:bookmarkStart w:id="10" w:name="_GoBack"/>
    <w:bookmarkEnd w:id="10"/>
    <w:p w:rsidR="00CF63C8" w:rsidRPr="009549EC" w:rsidRDefault="002556C3" w:rsidP="00CF63C8">
      <w:pPr>
        <w:pStyle w:val="a9"/>
      </w:pPr>
      <w:r>
        <w:lastRenderedPageBreak/>
        <w:fldChar w:fldCharType="begin"/>
      </w:r>
      <w:r>
        <w:instrText xml:space="preserve"> HYPERLINK "https://www.ng.ru/economics/2022-04-25/1_8426_production.html" </w:instrText>
      </w:r>
      <w:r>
        <w:fldChar w:fldCharType="separate"/>
      </w:r>
      <w:r w:rsidR="00CF63C8" w:rsidRPr="009549EC">
        <w:t>Пальмовым маслом здесь больше не пахнет</w:t>
      </w:r>
      <w:r>
        <w:fldChar w:fldCharType="end"/>
      </w:r>
    </w:p>
    <w:p w:rsidR="00CF63C8" w:rsidRPr="00CF63C8" w:rsidRDefault="00CF63C8" w:rsidP="00CF63C8">
      <w:r>
        <w:t xml:space="preserve">Глобальное подорожание продовольствия затронула и отрасли пищевых суррогатов. Рост цен на пальмовое масло в Малайзии и Индонезии подтолкнул местные власти к запрету на вывоз этого пищевого заменителя. Россия широко использует пальмовое масло в пищевом производстве, однако участники рынка не считают, что запрет будет иметь последствия для РФ. "Россия не закупает ни сырое пальмовое масло, ни дорогой олеин", - уверяют в Масложировом союзе России. Однако если экспортные запреты продлятся больше трех месяцев, то и в России ускорится рост цен на пищевые суррогаты, считают эксперты. </w:t>
      </w:r>
      <w:r w:rsidRPr="00C978C1">
        <w:rPr>
          <w:i/>
        </w:rPr>
        <w:t>Независимая газета</w:t>
      </w:r>
    </w:p>
    <w:p w:rsidR="00900B82" w:rsidRPr="009549EC" w:rsidRDefault="00900B82" w:rsidP="00900B82">
      <w:pPr>
        <w:pStyle w:val="a9"/>
      </w:pPr>
      <w:r>
        <w:t xml:space="preserve">Ценовая ситуация на рынке овощей </w:t>
      </w:r>
    </w:p>
    <w:p w:rsidR="00900B82" w:rsidRDefault="00900B82" w:rsidP="00900B82">
      <w:r>
        <w:t xml:space="preserve">Судя по данным Росстата, за период с марта докризисного, </w:t>
      </w:r>
      <w:proofErr w:type="spellStart"/>
      <w:r>
        <w:t>досанкционного</w:t>
      </w:r>
      <w:proofErr w:type="spellEnd"/>
      <w:r>
        <w:t xml:space="preserve"> 2013 года по март относительно спокойного с экономической точки зрения 2021 года «</w:t>
      </w:r>
      <w:proofErr w:type="spellStart"/>
      <w:r>
        <w:t>борщевой</w:t>
      </w:r>
      <w:proofErr w:type="spellEnd"/>
      <w:r>
        <w:t xml:space="preserve"> набор» подорожал в среднем по стране в 1,6 раза – со 110 до 174 руб., а отдельно взятый картофель – почти в два раза: с 19 до 38 руб. И в принципе это соответствует накопленной за тот же период инфляции и, кстати, даже чуть меньше, чем ослабление за тот же период курса рубля к доллару (он упал более чем в два раза).</w:t>
      </w:r>
    </w:p>
    <w:p w:rsidR="00900B82" w:rsidRDefault="00900B82" w:rsidP="00900B82">
      <w:r>
        <w:t>Но затем, за период с марта 2021-го по март 2022-го, весь «</w:t>
      </w:r>
      <w:proofErr w:type="spellStart"/>
      <w:r>
        <w:t>борщевой</w:t>
      </w:r>
      <w:proofErr w:type="spellEnd"/>
      <w:r>
        <w:t xml:space="preserve"> набор» подорожал еще в 1,8 раза (до 320 руб.), а картофель – еще более чем на 40%, примерно до 54 руб. И это при общем показателе потребительской инфляции, составившей в марте 2022-го в годовом выражении почти 17%.</w:t>
      </w:r>
    </w:p>
    <w:p w:rsidR="00900B82" w:rsidRPr="00551270" w:rsidRDefault="00900B82" w:rsidP="00900B82">
      <w:r>
        <w:t xml:space="preserve">Хотя, отметим, в течение последних нескольких недель в случае с плодоовощной продукцией цены на нее не просто замедляют свой рост, а уже снижаются. Это </w:t>
      </w:r>
      <w:r w:rsidRPr="00900B82">
        <w:t xml:space="preserve">следует из мониторинга Минэкономразвития «О текущей ценовой ситуации». </w:t>
      </w:r>
      <w:r w:rsidRPr="00C978C1">
        <w:rPr>
          <w:i/>
        </w:rPr>
        <w:t>Независимая газета</w:t>
      </w:r>
    </w:p>
    <w:p w:rsidR="00356A9C" w:rsidRPr="00900B82" w:rsidRDefault="00356A9C" w:rsidP="00900B82"/>
    <w:p w:rsidR="00AF12E8" w:rsidRPr="00503490" w:rsidRDefault="002556C3" w:rsidP="00AF12E8">
      <w:pPr>
        <w:pStyle w:val="a9"/>
        <w:spacing w:before="0"/>
      </w:pPr>
      <w:hyperlink r:id="rId15" w:history="1">
        <w:r w:rsidR="00AF12E8" w:rsidRPr="00503490">
          <w:t>Власти планируют восстановить дамбу Федоровского гидроузла после разрушений</w:t>
        </w:r>
      </w:hyperlink>
    </w:p>
    <w:p w:rsidR="00AF12E8" w:rsidRPr="009D5364" w:rsidRDefault="00AF12E8" w:rsidP="00AF12E8">
      <w:r>
        <w:t xml:space="preserve">Федеральные власти совместно с властями Краснодарского края прорабатывают вопрос временного восстановления дамбы Федоровского гидроузла в Абинском районе после разрушений. Об этом сообщили в Министерстве сельского хозяйства и перерабатывающей промышленности Краснодарского края. </w:t>
      </w:r>
      <w:r w:rsidRPr="00657450">
        <w:rPr>
          <w:i/>
        </w:rPr>
        <w:t>ТАСС</w:t>
      </w:r>
    </w:p>
    <w:p w:rsidR="004C0E96" w:rsidRPr="009549EC" w:rsidRDefault="002556C3" w:rsidP="004C0E96">
      <w:pPr>
        <w:pStyle w:val="a9"/>
      </w:pPr>
      <w:hyperlink r:id="rId16" w:history="1">
        <w:r w:rsidR="004C0E96" w:rsidRPr="009549EC">
          <w:t>Власти Кубани заявили о необходимости увеличения объема фруктохранилищ на 150 тыс. тонн</w:t>
        </w:r>
      </w:hyperlink>
    </w:p>
    <w:p w:rsidR="000C78D6" w:rsidRDefault="004C0E96" w:rsidP="004C0E96">
      <w:r>
        <w:t xml:space="preserve">Наращивание производства фруктов и ягод на территории Кубани потребует создания дополнительных </w:t>
      </w:r>
      <w:proofErr w:type="spellStart"/>
      <w:r>
        <w:t>фруктохранилищ</w:t>
      </w:r>
      <w:proofErr w:type="spellEnd"/>
      <w:r>
        <w:t xml:space="preserve"> объемом минимум 150 тыс. тонн. Об этом сообщил вице-губернатор Краснодарского края Андрей Коробка во</w:t>
      </w:r>
      <w:r w:rsidR="000C78D6">
        <w:t xml:space="preserve"> время круглого стола в </w:t>
      </w:r>
      <w:proofErr w:type="spellStart"/>
      <w:r w:rsidR="000C78D6">
        <w:t>Совфеде</w:t>
      </w:r>
      <w:proofErr w:type="spellEnd"/>
      <w:r w:rsidR="000C78D6">
        <w:t>.</w:t>
      </w:r>
    </w:p>
    <w:p w:rsidR="00C8396B" w:rsidRPr="00980E83" w:rsidRDefault="004C0E96" w:rsidP="009549EC">
      <w:r w:rsidRPr="004C0E96">
        <w:t>Для этого необходимо предусмотреть меры поддержки прямых понесенных затрат на строительство и модернизацию объектов АПК (механизм "</w:t>
      </w:r>
      <w:proofErr w:type="spellStart"/>
      <w:r w:rsidRPr="004C0E96">
        <w:t>капексов</w:t>
      </w:r>
      <w:proofErr w:type="spellEnd"/>
      <w:r w:rsidRPr="004C0E96">
        <w:t xml:space="preserve">", </w:t>
      </w:r>
      <w:proofErr w:type="spellStart"/>
      <w:r w:rsidRPr="004C0E96">
        <w:t>Capex</w:t>
      </w:r>
      <w:proofErr w:type="spellEnd"/>
      <w:r w:rsidRPr="004C0E96">
        <w:t>), считает вице-губернатор. "</w:t>
      </w:r>
      <w:proofErr w:type="spellStart"/>
      <w:r w:rsidRPr="004C0E96">
        <w:t>Капексы</w:t>
      </w:r>
      <w:proofErr w:type="spellEnd"/>
      <w:r w:rsidRPr="004C0E96">
        <w:t xml:space="preserve"> на это направление</w:t>
      </w:r>
      <w:r w:rsidR="0097672E">
        <w:t xml:space="preserve"> должны вырасти минимум до 40%</w:t>
      </w:r>
      <w:r w:rsidRPr="004C0E96">
        <w:t>", - пояснил Коробка.</w:t>
      </w:r>
      <w:r>
        <w:rPr>
          <w:i/>
        </w:rPr>
        <w:t xml:space="preserve"> </w:t>
      </w:r>
      <w:r w:rsidRPr="00C978C1">
        <w:rPr>
          <w:i/>
        </w:rPr>
        <w:t>ТАСС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:rsidR="00D63EA3" w:rsidRPr="009549EC" w:rsidRDefault="002556C3" w:rsidP="00D63EA3">
      <w:pPr>
        <w:pStyle w:val="a9"/>
      </w:pPr>
      <w:hyperlink r:id="rId17" w:history="1">
        <w:r w:rsidR="00D63EA3" w:rsidRPr="009549EC">
          <w:t>Путин объявил 2022-2031 годы в РФ Десятилетием науки и технологий</w:t>
        </w:r>
      </w:hyperlink>
    </w:p>
    <w:p w:rsidR="00D63EA3" w:rsidRDefault="00D63EA3" w:rsidP="00D63EA3">
      <w:r>
        <w:t>Президент РФ Владимир Путин объявил 2022-2031 годы в России Десятилетием науки и технологий, следует из указа главы государства, опубликованного в понедельник на официальном интернет-портале правовой информации.</w:t>
      </w:r>
    </w:p>
    <w:p w:rsidR="00D63EA3" w:rsidRPr="00A4349F" w:rsidRDefault="00D63EA3" w:rsidP="00D63EA3">
      <w:pPr>
        <w:rPr>
          <w:i/>
        </w:rPr>
      </w:pPr>
      <w:r>
        <w:t xml:space="preserve">Согласно ему, основными задачами проведения Десятилетия науки и технологий являются привлечение талантливой молодежи в сферу исследований и разработок, содействие вовлечению исследователей и разработчиков в решение важнейших задач развития общества и страны, повышение доступности информации о достижениях и перспективах российской науки для граждан. </w:t>
      </w:r>
      <w:r w:rsidRPr="00A4349F">
        <w:rPr>
          <w:i/>
        </w:rPr>
        <w:t>ТАСС</w:t>
      </w:r>
    </w:p>
    <w:p w:rsidR="009549EC" w:rsidRPr="009549EC" w:rsidRDefault="002556C3" w:rsidP="009549EC">
      <w:pPr>
        <w:pStyle w:val="a9"/>
      </w:pPr>
      <w:hyperlink r:id="rId18" w:history="1">
        <w:r w:rsidR="009549EC" w:rsidRPr="009549EC">
          <w:t>Путин подписал указ о государственной информсистеме против коррупции "Посейдон"</w:t>
        </w:r>
      </w:hyperlink>
    </w:p>
    <w:p w:rsidR="009549EC" w:rsidRDefault="009549EC" w:rsidP="009549EC">
      <w:r>
        <w:t>Президент РФ Владимир Путин утвердил положение о государственной информационной системе в области противодействия коррупции, она получила название "Посейдон". Соответствующий указ главы государства опубликован в понедельник.</w:t>
      </w:r>
    </w:p>
    <w:p w:rsidR="009549EC" w:rsidRPr="00A4349F" w:rsidRDefault="009549EC" w:rsidP="009549EC">
      <w:pPr>
        <w:rPr>
          <w:i/>
        </w:rPr>
      </w:pPr>
      <w:r>
        <w:t xml:space="preserve">Отмечается, что система создана для информационно-аналитического обеспечения деятельности по профилактике коррупционных и иных правонарушений, в том числе для проведения с использованием IT-технологий анализа и проверок на соблюдение ограничений, запретов и требований в этой сфере. </w:t>
      </w:r>
      <w:r w:rsidRPr="00A4349F">
        <w:rPr>
          <w:i/>
        </w:rPr>
        <w:t>ТАСС</w:t>
      </w:r>
    </w:p>
    <w:p w:rsidR="009549EC" w:rsidRPr="009549EC" w:rsidRDefault="009549EC" w:rsidP="009549EC">
      <w:pPr>
        <w:pStyle w:val="a9"/>
      </w:pPr>
      <w:r w:rsidRPr="009549EC">
        <w:t>Страховые выносы</w:t>
      </w:r>
    </w:p>
    <w:p w:rsidR="009549EC" w:rsidRPr="00A4349F" w:rsidRDefault="009549EC" w:rsidP="009549EC">
      <w:r>
        <w:t>Для бизнеса, поставляющего товары и услуги на внутренний рынок, планируется ввести отсрочку до 1 мая 2023 года уплаты страховых взносов за второй квартал текущего года, а для таких производственных предприятий - еще и за третий. Речь идет о 2,8 млн предприятий и "экономии" в общей сложности 1,6 трлн руб. В условиях высоких ставок по кредитам эта мера фактически является беспроцентным кредитом правительства двум третям экономики РФ, который позволит компаниям без ухудшения положения пополнять оборотные средства и платить контрагентам. Смысл льготы скорее не в экономии компаний на инфляции, а в максимальном смягчении "</w:t>
      </w:r>
      <w:proofErr w:type="spellStart"/>
      <w:r>
        <w:t>санкционно</w:t>
      </w:r>
      <w:proofErr w:type="spellEnd"/>
      <w:r>
        <w:t xml:space="preserve">-логистического" спада ВВП во втором-третьем кварталах 2022 года. Это действие легко по необходимости продолжить в 2023 году и в </w:t>
      </w:r>
      <w:r>
        <w:lastRenderedPageBreak/>
        <w:t xml:space="preserve">секторальном, и в общеэкономическом варианте </w:t>
      </w:r>
      <w:proofErr w:type="spellStart"/>
      <w:r>
        <w:t>спецусловиями</w:t>
      </w:r>
      <w:proofErr w:type="spellEnd"/>
      <w:r>
        <w:t xml:space="preserve"> возврата отложенных налогов в будущем. </w:t>
      </w:r>
      <w:r w:rsidRPr="00A4349F">
        <w:rPr>
          <w:i/>
        </w:rPr>
        <w:t>Коммерсантъ</w:t>
      </w:r>
    </w:p>
    <w:p w:rsidR="00E808EB" w:rsidRPr="00503490" w:rsidRDefault="002556C3" w:rsidP="00E808EB">
      <w:pPr>
        <w:pStyle w:val="a9"/>
      </w:pPr>
      <w:hyperlink r:id="rId19" w:history="1">
        <w:r w:rsidR="00E808EB" w:rsidRPr="00503490">
          <w:t>Эксперты спрогнозировали новое снижение ключевой ставки ЦБ</w:t>
        </w:r>
      </w:hyperlink>
    </w:p>
    <w:p w:rsidR="00C8396B" w:rsidRDefault="00E808EB" w:rsidP="00F77AD3">
      <w:r>
        <w:t>Банк России на заседании 29 апреля снизит ставку с 17 до 15%, считают эксперты, опрошенные РБК. Это смягчение будет вторым за месяц: в начале апреля регулятор принял на внеплановом заседании решение о снижении ключевой ставки с рекордных 20 до 17%. Комментируя его, ЦБ указал на замедление инфляции и укрепление рубля, а также допустил дальнейшее снижение ключевой ставки.</w:t>
      </w:r>
      <w:r w:rsidR="00D63EA3">
        <w:t xml:space="preserve"> </w:t>
      </w:r>
      <w:r w:rsidR="00D63EA3">
        <w:rPr>
          <w:i/>
        </w:rPr>
        <w:t xml:space="preserve">РБК </w:t>
      </w:r>
      <w:bookmarkEnd w:id="11"/>
    </w:p>
    <w:sectPr w:rsidR="00C8396B" w:rsidSect="005F3758">
      <w:headerReference w:type="default" r:id="rId20"/>
      <w:footerReference w:type="default" r:id="rId2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C3" w:rsidRDefault="002556C3">
      <w:r>
        <w:separator/>
      </w:r>
    </w:p>
  </w:endnote>
  <w:endnote w:type="continuationSeparator" w:id="0">
    <w:p w:rsidR="002556C3" w:rsidRDefault="0025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E808E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808EB">
            <w:rPr>
              <w:rFonts w:cs="Arial"/>
              <w:color w:val="90989E"/>
              <w:sz w:val="16"/>
              <w:szCs w:val="16"/>
            </w:rPr>
            <w:t>26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010ED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E808EB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77AD3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E808E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E808EB">
            <w:rPr>
              <w:rFonts w:cs="Arial"/>
              <w:color w:val="90989E"/>
              <w:sz w:val="16"/>
              <w:szCs w:val="16"/>
            </w:rPr>
            <w:t>6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010ED">
            <w:rPr>
              <w:rFonts w:cs="Arial"/>
              <w:color w:val="90989E"/>
              <w:sz w:val="16"/>
              <w:szCs w:val="16"/>
            </w:rPr>
            <w:t>апреля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E808EB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77AD3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  <w:p w:rsidR="002052D3" w:rsidRDefault="002052D3"/>
  <w:p w:rsidR="002052D3" w:rsidRDefault="00205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C3" w:rsidRDefault="002556C3">
      <w:r>
        <w:separator/>
      </w:r>
    </w:p>
  </w:footnote>
  <w:footnote w:type="continuationSeparator" w:id="0">
    <w:p w:rsidR="002556C3" w:rsidRDefault="0025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49EC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ACDFD5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49EC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72A3E25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  <w:p w:rsidR="002052D3" w:rsidRDefault="002052D3"/>
  <w:p w:rsidR="002052D3" w:rsidRDefault="002052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EC"/>
    <w:rsid w:val="0003491F"/>
    <w:rsid w:val="00066C93"/>
    <w:rsid w:val="00073C36"/>
    <w:rsid w:val="000C78D6"/>
    <w:rsid w:val="000D24E9"/>
    <w:rsid w:val="00125F5D"/>
    <w:rsid w:val="00195925"/>
    <w:rsid w:val="001A4895"/>
    <w:rsid w:val="002052D3"/>
    <w:rsid w:val="002556C3"/>
    <w:rsid w:val="00263297"/>
    <w:rsid w:val="00270257"/>
    <w:rsid w:val="0027352E"/>
    <w:rsid w:val="002E5101"/>
    <w:rsid w:val="003058E2"/>
    <w:rsid w:val="00356A9C"/>
    <w:rsid w:val="003C3C67"/>
    <w:rsid w:val="003E56DB"/>
    <w:rsid w:val="00403D9E"/>
    <w:rsid w:val="00414286"/>
    <w:rsid w:val="004265DF"/>
    <w:rsid w:val="004304C8"/>
    <w:rsid w:val="004C0E96"/>
    <w:rsid w:val="004D37A6"/>
    <w:rsid w:val="005233A0"/>
    <w:rsid w:val="005240C2"/>
    <w:rsid w:val="00542FC5"/>
    <w:rsid w:val="00551270"/>
    <w:rsid w:val="00564642"/>
    <w:rsid w:val="00572E29"/>
    <w:rsid w:val="0059297E"/>
    <w:rsid w:val="005B32A5"/>
    <w:rsid w:val="005B6FF3"/>
    <w:rsid w:val="005F3758"/>
    <w:rsid w:val="006010ED"/>
    <w:rsid w:val="00604F1E"/>
    <w:rsid w:val="00610156"/>
    <w:rsid w:val="006238E2"/>
    <w:rsid w:val="00673724"/>
    <w:rsid w:val="006C6588"/>
    <w:rsid w:val="006E64AC"/>
    <w:rsid w:val="006F6417"/>
    <w:rsid w:val="0074571A"/>
    <w:rsid w:val="00750476"/>
    <w:rsid w:val="00773B17"/>
    <w:rsid w:val="00786BDD"/>
    <w:rsid w:val="007910D0"/>
    <w:rsid w:val="00792769"/>
    <w:rsid w:val="007C2789"/>
    <w:rsid w:val="007E2160"/>
    <w:rsid w:val="007F0AB1"/>
    <w:rsid w:val="0081230D"/>
    <w:rsid w:val="00880679"/>
    <w:rsid w:val="008A43D6"/>
    <w:rsid w:val="008D7EBF"/>
    <w:rsid w:val="00900B82"/>
    <w:rsid w:val="009549EC"/>
    <w:rsid w:val="0097672E"/>
    <w:rsid w:val="00980E83"/>
    <w:rsid w:val="00985DA8"/>
    <w:rsid w:val="009B0CF1"/>
    <w:rsid w:val="009B4B1F"/>
    <w:rsid w:val="009D28BD"/>
    <w:rsid w:val="009D5364"/>
    <w:rsid w:val="009F5BD0"/>
    <w:rsid w:val="00A12D82"/>
    <w:rsid w:val="00AF12E8"/>
    <w:rsid w:val="00B535C6"/>
    <w:rsid w:val="00B854C8"/>
    <w:rsid w:val="00B922A1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C7B60"/>
    <w:rsid w:val="00CD2DDE"/>
    <w:rsid w:val="00CD5A45"/>
    <w:rsid w:val="00CF63C8"/>
    <w:rsid w:val="00D47FE9"/>
    <w:rsid w:val="00D52CCC"/>
    <w:rsid w:val="00D63EA3"/>
    <w:rsid w:val="00DB7914"/>
    <w:rsid w:val="00DC6C2F"/>
    <w:rsid w:val="00DF2151"/>
    <w:rsid w:val="00E12208"/>
    <w:rsid w:val="00E4368A"/>
    <w:rsid w:val="00E808EB"/>
    <w:rsid w:val="00EA7B65"/>
    <w:rsid w:val="00ED2150"/>
    <w:rsid w:val="00F41E23"/>
    <w:rsid w:val="00F62502"/>
    <w:rsid w:val="00F65057"/>
    <w:rsid w:val="00F74C9C"/>
    <w:rsid w:val="00F77AD3"/>
    <w:rsid w:val="00FA0D45"/>
    <w:rsid w:val="00FA4581"/>
    <w:rsid w:val="00FC274F"/>
    <w:rsid w:val="00FC4705"/>
    <w:rsid w:val="00FC7700"/>
    <w:rsid w:val="00F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A91C0-9037-466B-8857-7651DF29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ED215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77AD3"/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7A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061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92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04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7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5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7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3384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395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1738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88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9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5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60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04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05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1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96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192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33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65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037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37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070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3338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83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801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794789">
                                                                                                                          <w:marLeft w:val="7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8607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95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1518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1013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6872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619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9487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3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6554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7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38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kommersant.ru/doc/5327540" TargetMode="External"/><Relationship Id="rId18" Type="http://schemas.openxmlformats.org/officeDocument/2006/relationships/hyperlink" Target="https://tass.ru/politika/14470329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tass.ru/ekonomika/14465751" TargetMode="External"/><Relationship Id="rId12" Type="http://schemas.openxmlformats.org/officeDocument/2006/relationships/hyperlink" Target="https://tass.ru/ekonomika/14468155" TargetMode="External"/><Relationship Id="rId17" Type="http://schemas.openxmlformats.org/officeDocument/2006/relationships/hyperlink" Target="https://tass.ru/nauka/144690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4470319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num.ru/news/357491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obschestvo/144646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prime.ru/business/20220425/836750921.html" TargetMode="External"/><Relationship Id="rId19" Type="http://schemas.openxmlformats.org/officeDocument/2006/relationships/hyperlink" Target="https://www.rbc.ru/finances/25/04/2022/6262d14d9a79471d682dd1a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z.ru/1325765/liubov-lezhneva-evgeniia-pertceva/vne-zavisimosti-ot-proiskhodiashchego-kachestvo-tovarov-ukhudshatsia-ne-dolzhn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sh\Desktop\&#1052;&#1057;&#1061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58</TotalTime>
  <Pages>6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Мешкова</dc:creator>
  <cp:keywords/>
  <dc:description/>
  <cp:lastModifiedBy>Иванов Владимир Владимирович</cp:lastModifiedBy>
  <cp:revision>19</cp:revision>
  <cp:lastPrinted>2022-04-26T07:10:00Z</cp:lastPrinted>
  <dcterms:created xsi:type="dcterms:W3CDTF">2022-04-26T05:05:00Z</dcterms:created>
  <dcterms:modified xsi:type="dcterms:W3CDTF">2022-04-26T07:11:00Z</dcterms:modified>
</cp:coreProperties>
</file>