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D22E7C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D22E7C" w:rsidP="00D22E7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04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0605F8">
              <w:rPr>
                <w:rFonts w:cs="Arial"/>
                <w:color w:val="FFFFFF"/>
                <w:sz w:val="28"/>
                <w:szCs w:val="28"/>
              </w:rPr>
              <w:t>августа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852AFF" w:rsidRDefault="00C704A4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852AFF" w:rsidRDefault="00C704A4" w:rsidP="00C704A4">
            <w:pPr>
              <w:pStyle w:val="a9"/>
            </w:pPr>
            <w:r>
              <w:t>12 августа</w:t>
            </w:r>
          </w:p>
          <w:p w:rsidR="00C704A4" w:rsidRDefault="00B276FB" w:rsidP="00C704A4">
            <w:r>
              <w:t>П</w:t>
            </w:r>
            <w:r w:rsidR="00C704A4">
              <w:t xml:space="preserve">ресс-конференция по итогам аудита винодельческих предприятий Кубани экспертной группой проекта "Винный гид России" </w:t>
            </w:r>
            <w:proofErr w:type="spellStart"/>
            <w:r w:rsidR="00C704A4">
              <w:t>Роскачества</w:t>
            </w:r>
            <w:proofErr w:type="spellEnd"/>
            <w:r w:rsidR="00C704A4">
              <w:t xml:space="preserve">. </w:t>
            </w:r>
          </w:p>
          <w:bookmarkEnd w:id="4"/>
          <w:p w:rsidR="00C8396B" w:rsidRDefault="00C8396B" w:rsidP="00B276FB"/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852AFF" w:rsidRDefault="00193BF6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E447CF" w:rsidRDefault="00E447CF" w:rsidP="00E447CF">
            <w:pPr>
              <w:pStyle w:val="a9"/>
            </w:pPr>
            <w:r>
              <w:t>рейтинг медиаактивности федеральных министров за июль-2022</w:t>
            </w:r>
          </w:p>
          <w:p w:rsidR="00E447CF" w:rsidRPr="00E447CF" w:rsidRDefault="00E447CF" w:rsidP="00E447CF">
            <w:r w:rsidRPr="00E447CF">
              <w:t xml:space="preserve">Премьер-министр Михаил </w:t>
            </w:r>
            <w:proofErr w:type="spellStart"/>
            <w:r w:rsidRPr="00E447CF">
              <w:t>Мишустин</w:t>
            </w:r>
            <w:proofErr w:type="spellEnd"/>
            <w:r w:rsidRPr="00E447CF">
              <w:t xml:space="preserve"> стал самым упоминаемым членом </w:t>
            </w:r>
            <w:proofErr w:type="spellStart"/>
            <w:r w:rsidRPr="00E447CF">
              <w:t>Кабмина</w:t>
            </w:r>
            <w:proofErr w:type="spellEnd"/>
            <w:r w:rsidRPr="00E447CF">
              <w:t xml:space="preserve"> по итогам июля. Это следует из рейтинга </w:t>
            </w:r>
            <w:proofErr w:type="spellStart"/>
            <w:r w:rsidRPr="00E447CF">
              <w:t>медиаактивности</w:t>
            </w:r>
            <w:proofErr w:type="spellEnd"/>
            <w:r w:rsidRPr="00E447CF">
              <w:t>, подготовленного Институтом стратегических коммуникаций и социальных проектов (</w:t>
            </w:r>
            <w:proofErr w:type="spellStart"/>
            <w:r w:rsidRPr="00E447CF">
              <w:t>Инстратком</w:t>
            </w:r>
            <w:proofErr w:type="spellEnd"/>
            <w:r w:rsidRPr="00E447CF">
              <w:t>) совместно с «</w:t>
            </w:r>
            <w:proofErr w:type="spellStart"/>
            <w:r w:rsidRPr="00E447CF">
              <w:t>ФедералПресс</w:t>
            </w:r>
            <w:proofErr w:type="spellEnd"/>
            <w:r w:rsidRPr="00E447CF">
              <w:t>».</w:t>
            </w:r>
            <w:r>
              <w:t xml:space="preserve"> </w:t>
            </w:r>
            <w:r w:rsidRPr="00E447CF">
              <w:t xml:space="preserve">Также серьезный рост </w:t>
            </w:r>
            <w:proofErr w:type="spellStart"/>
            <w:r w:rsidRPr="00E447CF">
              <w:t>упоминаемости</w:t>
            </w:r>
            <w:proofErr w:type="spellEnd"/>
            <w:r w:rsidRPr="00E447CF">
              <w:t xml:space="preserve"> продемонстрировал министр сельского хозяйства </w:t>
            </w:r>
            <w:r w:rsidRPr="00E447CF">
              <w:rPr>
                <w:b/>
              </w:rPr>
              <w:t>Дмитрий Патрушев</w:t>
            </w:r>
            <w:r w:rsidRPr="00E447CF">
              <w:rPr>
                <w:i/>
              </w:rPr>
              <w:t xml:space="preserve"> </w:t>
            </w:r>
            <w:r w:rsidRPr="00E447CF">
              <w:t>(+10 позиций).</w:t>
            </w:r>
            <w:r>
              <w:t xml:space="preserve"> </w:t>
            </w:r>
            <w:r w:rsidRPr="00E447CF">
              <w:rPr>
                <w:i/>
              </w:rPr>
              <w:t>Федерал Пресс</w:t>
            </w:r>
          </w:p>
          <w:p w:rsidR="00B276FB" w:rsidRPr="00852AFF" w:rsidRDefault="0094631C" w:rsidP="00B276FB">
            <w:pPr>
              <w:pStyle w:val="a9"/>
            </w:pPr>
            <w:hyperlink r:id="rId7" w:history="1">
              <w:r w:rsidR="00B276FB" w:rsidRPr="00852AFF">
                <w:t>УРОЖАЙ ТЕПЛИЧНЫХ ОВОЩЕЙ В РОССИИ В 2022 ГОДУ ВЫРОС НА 6,3%</w:t>
              </w:r>
            </w:hyperlink>
          </w:p>
          <w:p w:rsidR="00B276FB" w:rsidRDefault="00B276FB" w:rsidP="00B276FB">
            <w:r>
              <w:t xml:space="preserve">Урожай тепличных овощей в России с начала 2022 года вырос на 6,3% по сравнению с показателем аналогичного период прошлого года и, по данным на начало августа, составил 975,3 тыс. т. Об этом говорится в сообщении </w:t>
            </w:r>
            <w:r w:rsidRPr="00852AFF">
              <w:rPr>
                <w:b/>
              </w:rPr>
              <w:t>Минсельхоза</w:t>
            </w:r>
            <w:r>
              <w:t xml:space="preserve">. </w:t>
            </w:r>
          </w:p>
          <w:p w:rsidR="00B276FB" w:rsidRDefault="00B276FB" w:rsidP="00B276FB">
            <w:r>
              <w:t xml:space="preserve">"На протяжении последних лет в России стабильно растет производство тепличных овощей и зеленых культур. Только с начала этого года в зимних теплицах выращено 975,3 тыс. т, что на 6,3% больше показателя за аналогичный период 2021 года", - отмечается в сообщении. </w:t>
            </w:r>
          </w:p>
          <w:p w:rsidR="00B276FB" w:rsidRDefault="00B276FB" w:rsidP="00B276FB">
            <w:r>
              <w:t xml:space="preserve">Согласно данным министерства, в том числе урожай огурцов составляет 568,2 тыс. т, а томатов - 387,8 тыс. т. </w:t>
            </w:r>
          </w:p>
          <w:p w:rsidR="00C8396B" w:rsidRPr="00B276FB" w:rsidRDefault="00B276FB" w:rsidP="00B276FB">
            <w:pPr>
              <w:rPr>
                <w:i/>
              </w:rPr>
            </w:pPr>
            <w:r>
              <w:t xml:space="preserve">Как сообщалось ранее, в 2021 году производство тепличных овощей в России составило 1,4 млн т. </w:t>
            </w:r>
            <w:r w:rsidRPr="001F511F">
              <w:rPr>
                <w:i/>
              </w:rPr>
              <w:t>ТАСС</w:t>
            </w:r>
            <w:r>
              <w:rPr>
                <w:i/>
              </w:rPr>
              <w:t>, Интерфакс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:rsidR="00B276FB" w:rsidRPr="00852AFF" w:rsidRDefault="00B276FB" w:rsidP="008E1126">
      <w:pPr>
        <w:pStyle w:val="a9"/>
        <w:spacing w:before="0"/>
      </w:pPr>
      <w:r>
        <w:lastRenderedPageBreak/>
        <w:fldChar w:fldCharType="begin"/>
      </w:r>
      <w:r>
        <w:instrText xml:space="preserve"> HYPERLINK "https://1prime.ru/Agriculture/20220803/837689553.html" </w:instrText>
      </w:r>
      <w:r>
        <w:fldChar w:fldCharType="separate"/>
      </w:r>
      <w:r w:rsidRPr="00852AFF">
        <w:t>МИНСЕЛЬХОЗ ПРЕДЛОЖИЛ ПРОДЛИТЬ ПОШЛИНУ НА ЭКСПОРТ РАПСА И СДЕЛАТЬ ПОСТОЯННОЙ ПОШЛИНУ НА ЭКСПОРТ СОИ</w:t>
      </w:r>
      <w:r>
        <w:fldChar w:fldCharType="end"/>
      </w:r>
    </w:p>
    <w:p w:rsidR="00B276FB" w:rsidRDefault="00B276FB" w:rsidP="008E1126">
      <w:r w:rsidRPr="00852AFF">
        <w:rPr>
          <w:b/>
        </w:rPr>
        <w:t>Минсельхоз России</w:t>
      </w:r>
      <w:r>
        <w:t xml:space="preserve"> предложил продлить пошлину на экспорт рапса на год, сделать постоянной пошлину на экспорт сои, следует из проекта постановления правительства, опубликованного на портале проектов нормативных правовых актов.</w:t>
      </w:r>
    </w:p>
    <w:p w:rsidR="00B276FB" w:rsidRDefault="00B276FB" w:rsidP="00B276FB">
      <w:r>
        <w:t>Согласно пояснительной записке к документу, проект предусматривает установление ставок вывозных таможенных пошлин в отношении соевых бобов на постоянной основе. Кроме того, предлагается продлить действующую ставку вывозной таможенной пошлины в отношении семян рапса на один год.</w:t>
      </w:r>
    </w:p>
    <w:p w:rsidR="00B276FB" w:rsidRPr="001F511F" w:rsidRDefault="00B276FB" w:rsidP="00B276FB">
      <w:pPr>
        <w:rPr>
          <w:i/>
        </w:rPr>
      </w:pPr>
      <w:r>
        <w:t xml:space="preserve">Такие предложения подготовлены в целях обеспечения загрузки сырьем отечественных предприятий, перерабатывающих масличные культуры, и сохранения тем самым продовольственной безопасности внутреннего рынка. </w:t>
      </w:r>
      <w:r w:rsidRPr="001F511F">
        <w:rPr>
          <w:i/>
        </w:rPr>
        <w:t>ПРАЙМ</w:t>
      </w:r>
      <w:r>
        <w:rPr>
          <w:i/>
        </w:rPr>
        <w:t xml:space="preserve">, Интерфакс, </w:t>
      </w:r>
      <w:r w:rsidRPr="001F511F">
        <w:rPr>
          <w:i/>
        </w:rPr>
        <w:t>ТАСС</w:t>
      </w:r>
      <w:r>
        <w:rPr>
          <w:i/>
        </w:rPr>
        <w:t xml:space="preserve">, Профиль, </w:t>
      </w:r>
      <w:r w:rsidRPr="001F511F">
        <w:rPr>
          <w:i/>
        </w:rPr>
        <w:t>Парламентская газета</w:t>
      </w:r>
      <w:r>
        <w:rPr>
          <w:i/>
        </w:rPr>
        <w:t>,</w:t>
      </w:r>
      <w:r w:rsidRPr="001F511F">
        <w:rPr>
          <w:i/>
        </w:rPr>
        <w:t xml:space="preserve"> MilkNews.ru</w:t>
      </w:r>
    </w:p>
    <w:p w:rsidR="006E5C80" w:rsidRDefault="006E5C80" w:rsidP="006E5C80">
      <w:pPr>
        <w:pStyle w:val="a8"/>
        <w:outlineLvl w:val="0"/>
      </w:pPr>
    </w:p>
    <w:p w:rsidR="00852AFF" w:rsidRDefault="00F62502" w:rsidP="006E5C80">
      <w:pPr>
        <w:pStyle w:val="a8"/>
        <w:outlineLvl w:val="0"/>
      </w:pPr>
      <w:r>
        <w:t>Государственное регулирование отрасли АПК</w:t>
      </w:r>
    </w:p>
    <w:p w:rsidR="00317F41" w:rsidRPr="00852AFF" w:rsidRDefault="0094631C" w:rsidP="00317F41">
      <w:pPr>
        <w:pStyle w:val="a9"/>
      </w:pPr>
      <w:hyperlink r:id="rId10" w:history="1">
        <w:r w:rsidR="00317F41" w:rsidRPr="00852AFF">
          <w:t>В РОССИИ ПОВЫСИЛИ ШТРАФЫ ЗА НЕЗАКОННЫЙ ВЫЛОВ КРАСНОКНИЖНЫХ РЫБ</w:t>
        </w:r>
      </w:hyperlink>
    </w:p>
    <w:p w:rsidR="000F5859" w:rsidRDefault="00317F41" w:rsidP="00317F41">
      <w:pPr>
        <w:rPr>
          <w:i/>
        </w:rPr>
      </w:pPr>
      <w:r>
        <w:t xml:space="preserve">Браконьерам, наносящим ущерб </w:t>
      </w:r>
      <w:proofErr w:type="spellStart"/>
      <w:r>
        <w:t>краснокнижным</w:t>
      </w:r>
      <w:proofErr w:type="spellEnd"/>
      <w:r>
        <w:t xml:space="preserve"> водным биоресурсам, теперь придется очень дорого платить за свои деяния. Как сообщает </w:t>
      </w:r>
      <w:proofErr w:type="spellStart"/>
      <w:r w:rsidRPr="00852AFF">
        <w:rPr>
          <w:b/>
        </w:rPr>
        <w:t>Росрыболовство</w:t>
      </w:r>
      <w:proofErr w:type="spellEnd"/>
      <w:r>
        <w:t xml:space="preserve">, с 3 августа вступило в силу постановление правительства от 23 июля 2022 года, которое существенно повышает размер такс для исчисления размера вреда, причиненного водным биологическим ресурсам, которые занесены в Красную книгу РФ. Самые большие суммы предусмотрены за вылов осетровых и морских млекопитающих. Так, за </w:t>
      </w:r>
      <w:proofErr w:type="spellStart"/>
      <w:r>
        <w:t>калугу</w:t>
      </w:r>
      <w:proofErr w:type="spellEnd"/>
      <w:r>
        <w:t xml:space="preserve"> браконьеры заплатят 807,75 тыс. рублей, за белугу - 826,5 тыс. рублей. Добыча сахалинского, балтийского, европейского осетра обойдется в 641,8 тыс. рублей, сибирского и амурского - в 481,37 тыс. рублей. </w:t>
      </w:r>
      <w:r w:rsidRPr="00E05545">
        <w:rPr>
          <w:i/>
        </w:rPr>
        <w:t>Интерфакс</w:t>
      </w:r>
      <w:r>
        <w:t xml:space="preserve">, </w:t>
      </w:r>
      <w:r w:rsidRPr="00E05545">
        <w:rPr>
          <w:i/>
        </w:rPr>
        <w:t>ТАСС</w:t>
      </w:r>
    </w:p>
    <w:p w:rsidR="000F5859" w:rsidRPr="00660413" w:rsidRDefault="000F5859" w:rsidP="00317F41"/>
    <w:p w:rsidR="00C8396B" w:rsidRDefault="00F62502" w:rsidP="00794231">
      <w:pPr>
        <w:pStyle w:val="a8"/>
        <w:outlineLvl w:val="0"/>
      </w:pPr>
      <w:bookmarkStart w:id="9" w:name="SEC_5"/>
      <w:bookmarkEnd w:id="8"/>
      <w:r>
        <w:t>Агропромышленный комплекс</w:t>
      </w:r>
    </w:p>
    <w:p w:rsidR="00794231" w:rsidRDefault="00794231" w:rsidP="00794231">
      <w:pPr>
        <w:pStyle w:val="a9"/>
        <w:spacing w:before="0"/>
      </w:pPr>
    </w:p>
    <w:p w:rsidR="00A11DC8" w:rsidRPr="00852AFF" w:rsidRDefault="0094631C" w:rsidP="00794231">
      <w:pPr>
        <w:pStyle w:val="a9"/>
        <w:spacing w:before="0"/>
      </w:pPr>
      <w:hyperlink r:id="rId11" w:history="1">
        <w:r w:rsidR="00A11DC8" w:rsidRPr="00852AFF">
          <w:t>В РОССИИ ЗАРЕГИСТРИРОВАЛИ НОВУЮ ВАКЦИНУ ПРОТИВ ГРИППА ПТИЦ</w:t>
        </w:r>
      </w:hyperlink>
    </w:p>
    <w:p w:rsidR="00A11DC8" w:rsidRPr="008E1126" w:rsidRDefault="00A11DC8" w:rsidP="00A11DC8">
      <w:r>
        <w:t xml:space="preserve">Подведомственный </w:t>
      </w:r>
      <w:proofErr w:type="spellStart"/>
      <w:r>
        <w:t>Россельхознадзору</w:t>
      </w:r>
      <w:proofErr w:type="spellEnd"/>
      <w:r>
        <w:t xml:space="preserve"> ФГБУ "Федеральный центр охраны здоровья животных" разработал и зарегистрировал новую вакцину против гриппа птиц. Об этом говорится в сообщении учреждения. На данный момент проводятся дополнительные клинические испытания эффективности препарата для водоплавающих птиц. Запуск в промышленное производство ожидается в начале осени. </w:t>
      </w:r>
      <w:r w:rsidRPr="001F511F">
        <w:rPr>
          <w:i/>
        </w:rPr>
        <w:t>ТАСС</w:t>
      </w:r>
    </w:p>
    <w:p w:rsidR="002F3E6C" w:rsidRPr="00B87B95" w:rsidRDefault="0094631C" w:rsidP="002F3E6C">
      <w:pPr>
        <w:pStyle w:val="a9"/>
      </w:pPr>
      <w:hyperlink r:id="rId12" w:history="1">
        <w:r w:rsidR="002F3E6C" w:rsidRPr="00B87B95">
          <w:t>РОССЕЛЬХОЗНАДЗОР В I ПОЛУГОДИИ ВЫЯВИЛ НАРУШЕНИЯ ЗАКОНА НА 44% ОБСЛЕДОВАННЫХ ЗЕМЕЛЬ</w:t>
        </w:r>
      </w:hyperlink>
    </w:p>
    <w:p w:rsidR="002F3E6C" w:rsidRDefault="002F3E6C" w:rsidP="002F3E6C">
      <w:proofErr w:type="spellStart"/>
      <w:r w:rsidRPr="00B87B95">
        <w:rPr>
          <w:b/>
        </w:rPr>
        <w:t>Россельхознадзор</w:t>
      </w:r>
      <w:proofErr w:type="spellEnd"/>
      <w:r>
        <w:t xml:space="preserve"> в январе - июне 2022 года выявил нарушения земельного законодательства почти на 44% обследованных земель. Об этом говорится в сообщении ведомства. </w:t>
      </w:r>
    </w:p>
    <w:p w:rsidR="002F3E6C" w:rsidRDefault="002F3E6C" w:rsidP="002F3E6C">
      <w:r>
        <w:t xml:space="preserve">"В результате за шесть месяцев инспекторами </w:t>
      </w:r>
      <w:proofErr w:type="spellStart"/>
      <w:r w:rsidRPr="00B87B95">
        <w:rPr>
          <w:b/>
        </w:rPr>
        <w:t>Россельхознадзора</w:t>
      </w:r>
      <w:proofErr w:type="spellEnd"/>
      <w:r>
        <w:t xml:space="preserve"> по всей стране обследовано более 1,4 млн га земель сельскохозяйственного назначения. На площади общим размером более 615 тыс. га выявлены нарушения обязательных требований земельного законодательства", - отмечается в сообщении. </w:t>
      </w:r>
    </w:p>
    <w:p w:rsidR="002F3E6C" w:rsidRPr="00714D5F" w:rsidRDefault="002F3E6C" w:rsidP="002F3E6C">
      <w:pPr>
        <w:rPr>
          <w:i/>
        </w:rPr>
      </w:pPr>
      <w:r>
        <w:t xml:space="preserve">Как пояснили в ведомстве, 97% нарушений приходится на зарастание земельных участков сорной, древесной, кустарниковой растительностью и неиспользование для ведения сельскохозяйственного </w:t>
      </w:r>
      <w:proofErr w:type="spellStart"/>
      <w:r>
        <w:t>производства.</w:t>
      </w:r>
      <w:r w:rsidRPr="00714D5F">
        <w:rPr>
          <w:i/>
        </w:rPr>
        <w:t>ТАСС</w:t>
      </w:r>
      <w:proofErr w:type="spellEnd"/>
    </w:p>
    <w:p w:rsidR="00F71678" w:rsidRDefault="00F71678" w:rsidP="0080224C">
      <w:pPr>
        <w:rPr>
          <w:rFonts w:cs="Arial"/>
          <w:b/>
          <w:caps/>
          <w:color w:val="000000" w:themeColor="text1"/>
          <w:szCs w:val="18"/>
        </w:rPr>
      </w:pPr>
    </w:p>
    <w:p w:rsidR="0080224C" w:rsidRPr="0080224C" w:rsidRDefault="0080224C" w:rsidP="0080224C">
      <w:bookmarkStart w:id="10" w:name="_GoBack"/>
      <w:bookmarkEnd w:id="10"/>
      <w:r w:rsidRPr="0080224C">
        <w:rPr>
          <w:rFonts w:cs="Arial"/>
          <w:b/>
          <w:caps/>
          <w:color w:val="000000" w:themeColor="text1"/>
          <w:szCs w:val="18"/>
        </w:rPr>
        <w:t xml:space="preserve">Падение цен на плодоовощную продукцию в РФ с 23 июля по 1 августа ускорилось до 3,9% </w:t>
      </w:r>
    </w:p>
    <w:p w:rsidR="0080224C" w:rsidRPr="0080224C" w:rsidRDefault="0080224C" w:rsidP="0080224C">
      <w:r w:rsidRPr="0080224C">
        <w:t>Цены на плодоовощную продукцию в РФ с 23 июля по 1 августа снизились на 3,9%, сообщил Росст</w:t>
      </w:r>
      <w:r>
        <w:t>ат в среду.</w:t>
      </w:r>
    </w:p>
    <w:p w:rsidR="0080224C" w:rsidRPr="0080224C" w:rsidRDefault="0080224C" w:rsidP="0080224C">
      <w:r w:rsidRPr="0080224C">
        <w:t>Темпы снижения ускорились. Нед</w:t>
      </w:r>
      <w:r>
        <w:t xml:space="preserve">елей ранее они составляли 3,6%. </w:t>
      </w:r>
      <w:r w:rsidRPr="0080224C">
        <w:t>Так, свекла подешевела на 7,1% (на 6% на предыдущей неделей), картофель - на 7,9% (на 7,5%), капуста - на 5,2% (на 5,9%). Бананы стали дешевле на 4,3% (на 4,8%), помидоры - на 2,5% (на 2,1%), морковь - на 6,1% (на 3,4%), яблоки - на 2,1% (на 2,3%), огурцы - на 4,1% (на 2,9%), лук - на 1,4% (на 0,2%).</w:t>
      </w:r>
      <w:r>
        <w:t xml:space="preserve"> </w:t>
      </w:r>
      <w:r w:rsidRPr="0080224C">
        <w:rPr>
          <w:i/>
        </w:rPr>
        <w:t>Интерфакс</w:t>
      </w:r>
    </w:p>
    <w:p w:rsidR="00D43C0B" w:rsidRDefault="00D43C0B" w:rsidP="00D43C0B">
      <w:pPr>
        <w:rPr>
          <w:rFonts w:cs="Arial"/>
          <w:b/>
          <w:caps/>
          <w:color w:val="000000" w:themeColor="text1"/>
          <w:szCs w:val="18"/>
        </w:rPr>
      </w:pPr>
    </w:p>
    <w:p w:rsidR="00D255C0" w:rsidRPr="008534AF" w:rsidRDefault="00D255C0" w:rsidP="00D255C0">
      <w:pPr>
        <w:rPr>
          <w:rFonts w:cs="Arial"/>
          <w:b/>
          <w:caps/>
          <w:color w:val="000000" w:themeColor="text1"/>
          <w:szCs w:val="18"/>
        </w:rPr>
      </w:pPr>
      <w:r w:rsidRPr="00D255C0">
        <w:rPr>
          <w:rFonts w:cs="Arial"/>
          <w:b/>
          <w:caps/>
          <w:color w:val="000000" w:themeColor="text1"/>
          <w:szCs w:val="18"/>
        </w:rPr>
        <w:t>Цены на сахар, чай и сладости в РФ с 23 июля по 1 августа повысились, хотя неделей ранее о</w:t>
      </w:r>
      <w:r w:rsidR="008534AF">
        <w:rPr>
          <w:rFonts w:cs="Arial"/>
          <w:b/>
          <w:caps/>
          <w:color w:val="000000" w:themeColor="text1"/>
          <w:szCs w:val="18"/>
        </w:rPr>
        <w:t>ни снижались</w:t>
      </w:r>
    </w:p>
    <w:p w:rsidR="00D255C0" w:rsidRPr="00D255C0" w:rsidRDefault="00D255C0" w:rsidP="00D255C0">
      <w:r w:rsidRPr="00D255C0">
        <w:t>Как сообщил Росстат в среду, цены на сахар выросли на 0,2% (снижение на 0,3% на предыдущей неделе), на чай (байховый</w:t>
      </w:r>
      <w:r w:rsidR="008534AF">
        <w:t>) - на 0,3% (снижение на 0,4%).</w:t>
      </w:r>
    </w:p>
    <w:p w:rsidR="00D255C0" w:rsidRPr="00D255C0" w:rsidRDefault="00D255C0" w:rsidP="00D255C0">
      <w:r w:rsidRPr="00D255C0">
        <w:t>Конфеты, глазированные шоколадом, подорожали на 0,3% (снижение на 0,2%). Печенье тоже подорожало, но темпы роста цен замедлились до 0,</w:t>
      </w:r>
      <w:r w:rsidR="008534AF">
        <w:t>2% с 0,3% на предыдущей неделе.</w:t>
      </w:r>
    </w:p>
    <w:p w:rsidR="00D255C0" w:rsidRPr="00D255C0" w:rsidRDefault="00D255C0" w:rsidP="00D255C0">
      <w:r w:rsidRPr="00D255C0">
        <w:t>С начала года сахар подорожал на 32,3%, чай - на 23,3%, конфеты - на 24,7%, печенье - на 24,7%.</w:t>
      </w:r>
      <w:r w:rsidR="008534AF" w:rsidRPr="008534AF">
        <w:rPr>
          <w:i/>
        </w:rPr>
        <w:t xml:space="preserve"> </w:t>
      </w:r>
      <w:r w:rsidR="008534AF" w:rsidRPr="0080224C">
        <w:rPr>
          <w:i/>
        </w:rPr>
        <w:t>Интерфакс</w:t>
      </w:r>
    </w:p>
    <w:p w:rsidR="00D255C0" w:rsidRDefault="00D255C0" w:rsidP="00D255C0">
      <w:pPr>
        <w:rPr>
          <w:rFonts w:cs="Arial"/>
          <w:b/>
          <w:caps/>
          <w:color w:val="000000" w:themeColor="text1"/>
          <w:szCs w:val="18"/>
        </w:rPr>
      </w:pPr>
    </w:p>
    <w:p w:rsidR="00D43C0B" w:rsidRPr="00D43C0B" w:rsidRDefault="00D43C0B" w:rsidP="00D255C0">
      <w:pPr>
        <w:rPr>
          <w:rFonts w:cs="Arial"/>
          <w:b/>
          <w:caps/>
          <w:color w:val="000000" w:themeColor="text1"/>
          <w:szCs w:val="18"/>
        </w:rPr>
      </w:pPr>
      <w:r w:rsidRPr="00D43C0B">
        <w:rPr>
          <w:rFonts w:cs="Arial"/>
          <w:b/>
          <w:caps/>
          <w:color w:val="000000" w:themeColor="text1"/>
          <w:szCs w:val="18"/>
        </w:rPr>
        <w:t>Динамика развития пищевой промышленности РФ в первом по</w:t>
      </w:r>
      <w:r>
        <w:rPr>
          <w:rFonts w:cs="Arial"/>
          <w:b/>
          <w:caps/>
          <w:color w:val="000000" w:themeColor="text1"/>
          <w:szCs w:val="18"/>
        </w:rPr>
        <w:t>лугодии этого года замедлилась</w:t>
      </w:r>
    </w:p>
    <w:p w:rsidR="00D43C0B" w:rsidRPr="00D43C0B" w:rsidRDefault="00D43C0B" w:rsidP="00D43C0B">
      <w:r w:rsidRPr="00D43C0B">
        <w:t xml:space="preserve">Влияние на отрасль негативных факторов в ближайшее время не ослабнет, сообщается в исследовании, проведенном аналитической компанией </w:t>
      </w:r>
      <w:proofErr w:type="spellStart"/>
      <w:r w:rsidRPr="00D43C0B">
        <w:t>INFOLine</w:t>
      </w:r>
      <w:proofErr w:type="spellEnd"/>
      <w:r w:rsidRPr="00D43C0B">
        <w:t>.</w:t>
      </w:r>
    </w:p>
    <w:p w:rsidR="00D43C0B" w:rsidRPr="00D43C0B" w:rsidRDefault="00D43C0B" w:rsidP="00D43C0B">
      <w:r w:rsidRPr="00D43C0B">
        <w:t xml:space="preserve">По итогам первого полугодия аналитики отмечают замедление динамики роста пищевой промышленности до 1,4%. При этом производство напитков демонстрирует продолжающийся рост год к году на 9,4%. Эксперты объясняют это тем, что на фоне государственной поддержки виноделов выпуск вин с начала года вырос на 30%, коньяка - на 15%. "Свой вклад в положительную динамику внесли и безалкогольные заводы. Благодаря конкурентной борьбе, в которую вступили отечественные игроки, стремясь занять на полках магазинов места уходящих с рынка международных </w:t>
      </w:r>
      <w:r w:rsidRPr="00D43C0B">
        <w:lastRenderedPageBreak/>
        <w:t>компаний, совокупное производство безалкогольных напитков увеличилось на 9%", - говорится в сообщении.</w:t>
      </w:r>
      <w:r>
        <w:t xml:space="preserve"> </w:t>
      </w:r>
      <w:r w:rsidRPr="00D43C0B">
        <w:rPr>
          <w:i/>
        </w:rPr>
        <w:t>Интерфакс</w:t>
      </w:r>
    </w:p>
    <w:p w:rsidR="006E5C80" w:rsidRPr="00852AFF" w:rsidRDefault="0094631C" w:rsidP="00D43C0B">
      <w:pPr>
        <w:pStyle w:val="a9"/>
      </w:pPr>
      <w:hyperlink r:id="rId13" w:history="1">
        <w:r w:rsidR="006E5C80" w:rsidRPr="00852AFF">
          <w:t>РОССИЙСКИЕ АГРАРИИ УВЕЛИЧИЛИ ЗАКУПКУ УДОБРЕНИЙ С НАЧАЛА ГОДА НА 17% - ДО 3,84 МИЛЛИОНА ТОНН</w:t>
        </w:r>
      </w:hyperlink>
    </w:p>
    <w:p w:rsidR="006E5C80" w:rsidRPr="006E5C80" w:rsidRDefault="006E5C80" w:rsidP="006E5C80">
      <w:r>
        <w:t xml:space="preserve">Российские аграрии с начала года закупили 3,84 миллиона тонн удобрений, тем самым выполнив план </w:t>
      </w:r>
      <w:r w:rsidRPr="00852AFF">
        <w:rPr>
          <w:b/>
        </w:rPr>
        <w:t>Минсельхоза РФ</w:t>
      </w:r>
      <w:r>
        <w:t xml:space="preserve"> на 77%, а по сравнению с аналогичным периодом прошлого года это больше на 17%, сообщает Российская ассоциация удобрений (РАПУ). </w:t>
      </w:r>
      <w:r w:rsidRPr="001F511F">
        <w:rPr>
          <w:i/>
        </w:rPr>
        <w:t>ПРАЙМ</w:t>
      </w:r>
      <w:r>
        <w:rPr>
          <w:i/>
        </w:rPr>
        <w:t xml:space="preserve">, Профиль, </w:t>
      </w:r>
      <w:r w:rsidRPr="009F783C">
        <w:rPr>
          <w:i/>
        </w:rPr>
        <w:t>MilkNews.ru</w:t>
      </w:r>
    </w:p>
    <w:p w:rsidR="00317F41" w:rsidRPr="00B87B95" w:rsidRDefault="0094631C" w:rsidP="00317F41">
      <w:pPr>
        <w:pStyle w:val="a9"/>
      </w:pPr>
      <w:hyperlink r:id="rId14" w:history="1">
        <w:r w:rsidR="00317F41" w:rsidRPr="00B87B95">
          <w:t>УЧАСТНИКИ РЫНКА РАЗРАБАТЫВАЮТ СТРАТЕГИИ ДЛЯ ИНДУСТРИИ ПРОДУКЦИИ НА РАСТИТЕЛЬНОЙ ОСНОВЕ</w:t>
        </w:r>
      </w:hyperlink>
    </w:p>
    <w:p w:rsidR="00317F41" w:rsidRDefault="00317F41" w:rsidP="00317F41">
      <w:r>
        <w:t xml:space="preserve">Союз производителей продукции на растительной основе разрабатывает стратегию развития индустрии продукции на растительной основе до 2030 года. </w:t>
      </w:r>
    </w:p>
    <w:p w:rsidR="00317F41" w:rsidRPr="00852AFF" w:rsidRDefault="00317F41" w:rsidP="00317F41">
      <w:r>
        <w:t xml:space="preserve">Как пояснили в союзе, документ будет содержать правовые основы регулирования индустрии инновационных растительных продуктов с указанием пробелов в законодательстве и обоснованием дополнения правовой базы для усиления эффективного управления отраслью. Кроме того, в стратегии будет отражено текущее состояние отрасли, цели, задачи, мероприятия и индикаторы государственной политики в сфере развития отрасли продукции на растительной основе, а также вызовы и угрозы данного сегмента рынка. Когда стратегия будет готова, союз обратиться в </w:t>
      </w:r>
      <w:r w:rsidRPr="00B87B95">
        <w:rPr>
          <w:b/>
        </w:rPr>
        <w:t>Минсельхоз</w:t>
      </w:r>
      <w:r>
        <w:t xml:space="preserve"> и </w:t>
      </w:r>
      <w:proofErr w:type="spellStart"/>
      <w:r>
        <w:t>Минпромторг</w:t>
      </w:r>
      <w:proofErr w:type="spellEnd"/>
      <w:r>
        <w:t xml:space="preserve">. </w:t>
      </w:r>
      <w:r w:rsidRPr="009F783C">
        <w:rPr>
          <w:i/>
        </w:rPr>
        <w:t>ТАСС</w:t>
      </w:r>
    </w:p>
    <w:p w:rsidR="001E7B44" w:rsidRPr="00852AFF" w:rsidRDefault="0094631C" w:rsidP="001E7B44">
      <w:pPr>
        <w:pStyle w:val="a9"/>
      </w:pPr>
      <w:hyperlink r:id="rId15" w:history="1">
        <w:r w:rsidR="001E7B44" w:rsidRPr="00852AFF">
          <w:t>"ЧЕРНОГОЛОВКА" РАССКАЗАЛА О ПЛАНАХ ЗАНЯТЬ 50% РЫНКА ПОСЛЕ УХОДА PEPSI И COCA-COLA</w:t>
        </w:r>
      </w:hyperlink>
    </w:p>
    <w:p w:rsidR="001E7B44" w:rsidRDefault="001E7B44" w:rsidP="001E7B44">
      <w:r>
        <w:t xml:space="preserve">После ухода </w:t>
      </w:r>
      <w:proofErr w:type="spellStart"/>
      <w:r>
        <w:t>PepsiCo</w:t>
      </w:r>
      <w:proofErr w:type="spellEnd"/>
      <w:r>
        <w:t xml:space="preserve"> и </w:t>
      </w:r>
      <w:proofErr w:type="spellStart"/>
      <w:r>
        <w:t>Coca-Cola</w:t>
      </w:r>
      <w:proofErr w:type="spellEnd"/>
      <w:r>
        <w:t xml:space="preserve"> производитель безалкогольных напитков "Черноголовка" собирается занять 50% российского рынка, объем которого приближается к $9 млрд. Об этом генеральный директор компании Наталия Сахнина рассказала </w:t>
      </w:r>
      <w:proofErr w:type="spellStart"/>
      <w:r>
        <w:t>Reuters</w:t>
      </w:r>
      <w:proofErr w:type="spellEnd"/>
      <w:r>
        <w:t>.</w:t>
      </w:r>
    </w:p>
    <w:p w:rsidR="001E7B44" w:rsidRDefault="001E7B44" w:rsidP="001E7B44">
      <w:r>
        <w:t xml:space="preserve">Ожидается, что в течение двух лет компания займет 30% российского рынка. Для сравнения: в 2021 г. ее доля составляла 8,5%. Далее производитель строит еще более амбициозные планы. Сахнина заявила, что "Черноголовка" собирается стать абсолютным лидером на рынке и приблизиться к 50%. </w:t>
      </w:r>
    </w:p>
    <w:p w:rsidR="001E7B44" w:rsidRPr="001E7B44" w:rsidRDefault="001E7B44" w:rsidP="001E7B44">
      <w:r>
        <w:t>Чтобы удовлетворить растущий спрос, компания строит завод "</w:t>
      </w:r>
      <w:proofErr w:type="spellStart"/>
      <w:r>
        <w:t>Аквалайф</w:t>
      </w:r>
      <w:proofErr w:type="spellEnd"/>
      <w:r>
        <w:t xml:space="preserve">" в Подмосковье. Его площадь составит 40 000 кв. м, а на строительство объекта потратят более 3 млрд руб. Первый этап строительства планируют завершить в марте 2023 г. </w:t>
      </w:r>
      <w:r w:rsidRPr="001F511F">
        <w:rPr>
          <w:i/>
        </w:rPr>
        <w:t>Ведомости</w:t>
      </w:r>
      <w:r>
        <w:rPr>
          <w:i/>
        </w:rPr>
        <w:t xml:space="preserve"> </w:t>
      </w:r>
    </w:p>
    <w:p w:rsidR="00011E84" w:rsidRPr="00852AFF" w:rsidRDefault="00011E84" w:rsidP="00011E84">
      <w:pPr>
        <w:pStyle w:val="a9"/>
      </w:pPr>
      <w:r w:rsidRPr="00852AFF">
        <w:t>ИНВЕСТОРЫ СМАТЫВАЮТ УДОЧКИ</w:t>
      </w:r>
    </w:p>
    <w:p w:rsidR="00011E84" w:rsidRPr="002F3E6C" w:rsidRDefault="00011E84" w:rsidP="00011E84">
      <w:r>
        <w:t>Компания "Дальнее" Ефима Малкина и Ирины Панченко - топ-менеджеров из команды Романа Абрамовича - вышла из рыбопромышленного бизнеса. Принадлежавшие им 50% в сахалинском предприятии "</w:t>
      </w:r>
      <w:proofErr w:type="spellStart"/>
      <w:r>
        <w:t>Поронай</w:t>
      </w:r>
      <w:proofErr w:type="spellEnd"/>
      <w:r>
        <w:t>" с квотами на вылов почти 84 тыс. тонн рыбы в этом году перешли ГК "</w:t>
      </w:r>
      <w:proofErr w:type="spellStart"/>
      <w:r>
        <w:t>Гидрострой</w:t>
      </w:r>
      <w:proofErr w:type="spellEnd"/>
      <w:r>
        <w:t xml:space="preserve">" экс-сенатора Александра </w:t>
      </w:r>
      <w:proofErr w:type="spellStart"/>
      <w:r>
        <w:t>Верховского</w:t>
      </w:r>
      <w:proofErr w:type="spellEnd"/>
      <w:r>
        <w:t xml:space="preserve">. Но у "Дальнего" остался опцион на выкуп пакета. Сделка могла потребоваться для снятия рисков санкций, считают эксперты. </w:t>
      </w:r>
      <w:r>
        <w:rPr>
          <w:i/>
        </w:rPr>
        <w:t>Коммерсантъ</w:t>
      </w:r>
    </w:p>
    <w:p w:rsidR="005A0AAB" w:rsidRDefault="005A0AAB" w:rsidP="005A0AAB">
      <w:pPr>
        <w:rPr>
          <w:rFonts w:cs="Arial"/>
          <w:b/>
          <w:caps/>
          <w:color w:val="000000" w:themeColor="text1"/>
          <w:szCs w:val="18"/>
        </w:rPr>
      </w:pPr>
    </w:p>
    <w:p w:rsidR="000F5859" w:rsidRPr="000F5859" w:rsidRDefault="000F5859" w:rsidP="000F5859">
      <w:pPr>
        <w:rPr>
          <w:rFonts w:cs="Arial"/>
          <w:b/>
          <w:caps/>
          <w:color w:val="000000" w:themeColor="text1"/>
          <w:szCs w:val="18"/>
        </w:rPr>
      </w:pPr>
      <w:r w:rsidRPr="000F5859">
        <w:rPr>
          <w:rFonts w:cs="Arial"/>
          <w:b/>
          <w:caps/>
          <w:color w:val="000000" w:themeColor="text1"/>
          <w:szCs w:val="18"/>
        </w:rPr>
        <w:t>В Херсонской области планируют создать госпредприятие для закупки продукции АПК</w:t>
      </w:r>
    </w:p>
    <w:p w:rsidR="000F5859" w:rsidRPr="000F5859" w:rsidRDefault="000F5859" w:rsidP="000F5859">
      <w:r w:rsidRPr="000F5859">
        <w:t xml:space="preserve">Власти планируют создать в Херсонской области государственное предприятие, которое будет заниматься закупкой сельхозпродукции у производителей, сообщил вице-премьер РФ Марат </w:t>
      </w:r>
      <w:proofErr w:type="spellStart"/>
      <w:r w:rsidRPr="000F5859">
        <w:t>Хуснуллин</w:t>
      </w:r>
      <w:proofErr w:type="spellEnd"/>
      <w:r w:rsidRPr="000F5859">
        <w:t>, который находитс</w:t>
      </w:r>
      <w:r>
        <w:t>я в регионе с рабочей поездкой.</w:t>
      </w:r>
    </w:p>
    <w:p w:rsidR="000F5859" w:rsidRDefault="000F5859" w:rsidP="000F5859">
      <w:r w:rsidRPr="000F5859">
        <w:t xml:space="preserve">"Обсудили сегодня вопрос, связанный с вывозом сельхозпродукции. Пока до конца эта работа не налажена, есть над чем работать. Наверное, будем все же создавать региональное ГУП, которое будет непосредственно осуществлять закупку </w:t>
      </w:r>
      <w:r>
        <w:t xml:space="preserve">продукции", - сказал </w:t>
      </w:r>
      <w:proofErr w:type="spellStart"/>
      <w:r>
        <w:t>Хуснуллин</w:t>
      </w:r>
      <w:proofErr w:type="spellEnd"/>
      <w:r>
        <w:t xml:space="preserve">. </w:t>
      </w:r>
      <w:r w:rsidRPr="000F5859">
        <w:rPr>
          <w:i/>
        </w:rPr>
        <w:t>ТАСС</w:t>
      </w:r>
    </w:p>
    <w:p w:rsidR="000F5859" w:rsidRDefault="000F5859" w:rsidP="005A0AAB">
      <w:pPr>
        <w:rPr>
          <w:rFonts w:cs="Arial"/>
          <w:b/>
          <w:caps/>
          <w:color w:val="000000" w:themeColor="text1"/>
          <w:szCs w:val="18"/>
        </w:rPr>
      </w:pPr>
    </w:p>
    <w:p w:rsidR="005A0AAB" w:rsidRPr="005A0AAB" w:rsidRDefault="005A0AAB" w:rsidP="005A0AAB">
      <w:pPr>
        <w:rPr>
          <w:rFonts w:cs="Arial"/>
          <w:b/>
          <w:caps/>
          <w:color w:val="000000" w:themeColor="text1"/>
          <w:szCs w:val="18"/>
        </w:rPr>
      </w:pPr>
      <w:r w:rsidRPr="005A0AAB">
        <w:rPr>
          <w:rFonts w:cs="Arial"/>
          <w:b/>
          <w:caps/>
          <w:color w:val="000000" w:themeColor="text1"/>
          <w:szCs w:val="18"/>
        </w:rPr>
        <w:t>Министр сельского хозяйства Крыма Мигаль ушел в отставку по собственному желанию</w:t>
      </w:r>
    </w:p>
    <w:p w:rsidR="005A0AAB" w:rsidRPr="005A0AAB" w:rsidRDefault="005A0AAB" w:rsidP="005A0AAB">
      <w:pPr>
        <w:rPr>
          <w:i/>
        </w:rPr>
      </w:pPr>
      <w:r w:rsidRPr="005A0AAB">
        <w:t xml:space="preserve">Министр сельского хозяйства Крыма Юрий </w:t>
      </w:r>
      <w:proofErr w:type="spellStart"/>
      <w:r w:rsidRPr="005A0AAB">
        <w:t>Мигаль</w:t>
      </w:r>
      <w:proofErr w:type="spellEnd"/>
      <w:r w:rsidRPr="005A0AAB">
        <w:t xml:space="preserve"> ушел в отставку. Соответствующий указ опубликован на официальном портале </w:t>
      </w:r>
      <w:r>
        <w:t xml:space="preserve">республиканского правительства. </w:t>
      </w:r>
      <w:proofErr w:type="spellStart"/>
      <w:r w:rsidRPr="005A0AAB">
        <w:t>Мигаль</w:t>
      </w:r>
      <w:proofErr w:type="spellEnd"/>
      <w:r w:rsidRPr="005A0AAB">
        <w:t xml:space="preserve"> возглавил </w:t>
      </w:r>
      <w:proofErr w:type="spellStart"/>
      <w:r w:rsidRPr="005A0AAB">
        <w:t>минсельхоз</w:t>
      </w:r>
      <w:proofErr w:type="spellEnd"/>
      <w:r w:rsidRPr="005A0AAB">
        <w:t xml:space="preserve"> в конце мая этого года. До этого он руководил комитетом парламента республики по аграрной политике и развитию сельских территорий.</w:t>
      </w:r>
      <w:r>
        <w:t xml:space="preserve"> </w:t>
      </w:r>
      <w:r w:rsidRPr="005A0AAB">
        <w:rPr>
          <w:i/>
        </w:rPr>
        <w:t>РИА Новости</w:t>
      </w:r>
    </w:p>
    <w:p w:rsidR="0004796A" w:rsidRPr="00B87B95" w:rsidRDefault="0094631C" w:rsidP="0004796A">
      <w:pPr>
        <w:pStyle w:val="a9"/>
      </w:pPr>
      <w:hyperlink r:id="rId16" w:history="1">
        <w:r w:rsidR="0004796A" w:rsidRPr="00B87B95">
          <w:t>САМООБЕСПЕЧЕННОСТЬ ПРИМОРЬЯ ТЕПЛИЧНЫМИ ОВОЩАМИ ВЫРОСЛА ДО 38%</w:t>
        </w:r>
      </w:hyperlink>
    </w:p>
    <w:p w:rsidR="0004796A" w:rsidRDefault="0004796A" w:rsidP="0004796A">
      <w:r>
        <w:t>Производство овощей увеличилось почти в два раза за два года в Приморском крае. Самообеспеченность региона достигла 38%.</w:t>
      </w:r>
    </w:p>
    <w:p w:rsidR="0004796A" w:rsidRPr="00714D5F" w:rsidRDefault="0004796A" w:rsidP="0004796A">
      <w:pPr>
        <w:rPr>
          <w:i/>
        </w:rPr>
      </w:pPr>
      <w:r>
        <w:t xml:space="preserve">По итогам 2021 года предприниматели вырастили свыше 8 тыс. т помидоров и огурцов. По данным регионального министерства сельского хозяйства, производители покрывают около половины затрат на выращивание и реализацию продукции за счет господдержки. Кроме того, аграрии могут рассчитывать на гранты для улучшения качества товаров и приобретения специальной техники. </w:t>
      </w:r>
      <w:r>
        <w:rPr>
          <w:i/>
        </w:rPr>
        <w:t xml:space="preserve">Известия </w:t>
      </w:r>
    </w:p>
    <w:p w:rsidR="003F252B" w:rsidRDefault="003F252B" w:rsidP="00976856">
      <w:pPr>
        <w:rPr>
          <w:b/>
        </w:rPr>
      </w:pPr>
    </w:p>
    <w:p w:rsidR="00976856" w:rsidRPr="00976856" w:rsidRDefault="0094631C" w:rsidP="00976856">
      <w:pPr>
        <w:rPr>
          <w:b/>
          <w:i/>
        </w:rPr>
      </w:pPr>
      <w:hyperlink r:id="rId17" w:history="1">
        <w:r w:rsidR="00F73DC4">
          <w:rPr>
            <w:b/>
          </w:rPr>
          <w:t>СОСТОЯНИЕ</w:t>
        </w:r>
        <w:r w:rsidR="00976856" w:rsidRPr="00976856">
          <w:rPr>
            <w:b/>
          </w:rPr>
          <w:t xml:space="preserve"> СЕЛЬСКОГО ХОЗЯЙСТВА ОРЕНБУРЖЬЯ</w:t>
        </w:r>
      </w:hyperlink>
    </w:p>
    <w:p w:rsidR="00976856" w:rsidRDefault="00976856" w:rsidP="00976856">
      <w:r>
        <w:t xml:space="preserve">Министр сельского хозяйства, торговли, пищевой и перерабатывающей промышленности региона Сергей Балыкин отчитался губернатору о состоянии АПК в регионе. </w:t>
      </w:r>
    </w:p>
    <w:p w:rsidR="00976856" w:rsidRPr="00976856" w:rsidRDefault="00976856" w:rsidP="00976856">
      <w:r>
        <w:t xml:space="preserve">В Оренбургской области проходит подготовка к севу озимых. Аграрии начнут процесс ближайшие несколько недель, план по посевам - 1 млн га. Прямо сейчас на полях проходит обработка паров, план по этому критерию - 1031,7 тыс. га. При этом 96 % хозяйств уже провели третью обработку. </w:t>
      </w:r>
      <w:proofErr w:type="spellStart"/>
      <w:r>
        <w:rPr>
          <w:i/>
        </w:rPr>
        <w:t>ФедералПресс</w:t>
      </w:r>
      <w:proofErr w:type="spellEnd"/>
      <w:r>
        <w:rPr>
          <w:i/>
        </w:rPr>
        <w:t xml:space="preserve"> </w:t>
      </w:r>
    </w:p>
    <w:p w:rsidR="00852AFF" w:rsidRPr="00852AFF" w:rsidRDefault="0094631C" w:rsidP="00852AFF">
      <w:pPr>
        <w:pStyle w:val="a9"/>
      </w:pPr>
      <w:hyperlink r:id="rId18" w:history="1">
        <w:r w:rsidR="00852AFF" w:rsidRPr="00852AFF">
          <w:t>КБГУ СОЗДАСТ ЭКОСИСТЕМУ ДЛЯ ЯБЛОНЕВОГО ИНТЕНСИВНОГО САДА НА КАРБОНОВОМ ПОЛИГОНЕ</w:t>
        </w:r>
      </w:hyperlink>
    </w:p>
    <w:p w:rsidR="00852AFF" w:rsidRDefault="00852AFF" w:rsidP="00852AFF">
      <w:r>
        <w:t xml:space="preserve">Кабардино-Балкарский госуниверситет (КБГУ) получил земельный участок под карбоновый полигон в </w:t>
      </w:r>
      <w:proofErr w:type="spellStart"/>
      <w:r>
        <w:t>Прохладненском</w:t>
      </w:r>
      <w:proofErr w:type="spellEnd"/>
      <w:r>
        <w:t xml:space="preserve"> районе Кабардино-Балкарии (КБР). В яблоневом саду интенсивного типа будет создана особая экосистема, сообщили в пресс-службе вуза. </w:t>
      </w:r>
    </w:p>
    <w:p w:rsidR="00852AFF" w:rsidRPr="00E05545" w:rsidRDefault="00852AFF" w:rsidP="00852AFF">
      <w:pPr>
        <w:rPr>
          <w:i/>
        </w:rPr>
      </w:pPr>
      <w:r>
        <w:t xml:space="preserve">В феврале 2021 года Министерство науки и высшего образования РФ запустило пилотный проект с участием университетов и научных организаций по созданию на территории регионов России карбоновых полигонов для разработки и испытаний технологий контроля углеродного баланса. </w:t>
      </w:r>
      <w:r w:rsidRPr="00E05545">
        <w:rPr>
          <w:i/>
        </w:rPr>
        <w:t>ТАСС</w:t>
      </w:r>
    </w:p>
    <w:p w:rsidR="001E7B44" w:rsidRPr="00852AFF" w:rsidRDefault="0094631C" w:rsidP="001E7B44">
      <w:pPr>
        <w:pStyle w:val="a9"/>
      </w:pPr>
      <w:hyperlink r:id="rId19" w:history="1">
        <w:r w:rsidR="001E7B44" w:rsidRPr="00852AFF">
          <w:t>ЕЩЕ 140 МЛН РУБЛЕЙ НАПРАВЯТ НА СТРОИТЕЛЬСТВО БОЛЬШОГО СТАВРОПОЛЬСКОГО КАНАЛА</w:t>
        </w:r>
      </w:hyperlink>
    </w:p>
    <w:p w:rsidR="001E7B44" w:rsidRPr="001E7B44" w:rsidRDefault="001E7B44" w:rsidP="001E7B44">
      <w:r>
        <w:t xml:space="preserve">В Ставропольском крае объявили о поиске подрядчика по строительству второго этапа четвертой очереди Большого Ставропольского канала. Максимальная стоимость контракта составит 143,6 млн рублей. Средства выделяют из федерального бюджета. Заказчиком выступает </w:t>
      </w:r>
      <w:r w:rsidRPr="00852AFF">
        <w:rPr>
          <w:b/>
        </w:rPr>
        <w:t>Министерство сельского хозяйства РФ</w:t>
      </w:r>
      <w:r>
        <w:t xml:space="preserve"> в лице управления </w:t>
      </w:r>
      <w:proofErr w:type="spellStart"/>
      <w:r>
        <w:t>Ставропольмелиоводхоза</w:t>
      </w:r>
      <w:proofErr w:type="spellEnd"/>
      <w:r>
        <w:t xml:space="preserve">. </w:t>
      </w:r>
      <w:r>
        <w:rPr>
          <w:i/>
        </w:rPr>
        <w:t>Известия</w:t>
      </w:r>
    </w:p>
    <w:p w:rsidR="00A11DC8" w:rsidRPr="00B87B95" w:rsidRDefault="0094631C" w:rsidP="00A11DC8">
      <w:pPr>
        <w:pStyle w:val="a9"/>
      </w:pPr>
      <w:hyperlink r:id="rId20" w:history="1">
        <w:r w:rsidR="00A11DC8" w:rsidRPr="00B87B95">
          <w:t>ПРИМОРСКИЕ РЫБОДОБЫТЧИКИ ПРОИГРАЛИ СПОР НА 3 МЛРД РУБЛЕЙ</w:t>
        </w:r>
      </w:hyperlink>
    </w:p>
    <w:p w:rsidR="00A11DC8" w:rsidRDefault="00A11DC8" w:rsidP="00A11DC8">
      <w:r>
        <w:t xml:space="preserve">Арбитраж Москвы отказал ООО "РК СПК", которое может быть связано с "крабовым королем" Олегом Каном, во взыскании с </w:t>
      </w:r>
      <w:r w:rsidRPr="00B87B95">
        <w:rPr>
          <w:b/>
        </w:rPr>
        <w:t>Минсельхоза России</w:t>
      </w:r>
      <w:r>
        <w:t xml:space="preserve"> более 3 млрд рублей, заявленных как убытки. </w:t>
      </w:r>
    </w:p>
    <w:p w:rsidR="00A11DC8" w:rsidRPr="009F783C" w:rsidRDefault="00A11DC8" w:rsidP="00A11DC8">
      <w:pPr>
        <w:rPr>
          <w:i/>
        </w:rPr>
      </w:pPr>
      <w:r>
        <w:t xml:space="preserve">Напомним, компания обратилась с претензиями к министерству весной 2022 года. Ранее ею оспаривалось решение </w:t>
      </w:r>
      <w:proofErr w:type="spellStart"/>
      <w:r>
        <w:t>Росрыболовства</w:t>
      </w:r>
      <w:proofErr w:type="spellEnd"/>
      <w:r>
        <w:t xml:space="preserve"> о принудительном прекращении права на добычу (вылов) водных биоресурсов. Спор со вторым ведомством также был проигран. </w:t>
      </w:r>
      <w:r w:rsidRPr="009F783C">
        <w:rPr>
          <w:i/>
        </w:rPr>
        <w:t xml:space="preserve">ИА </w:t>
      </w:r>
      <w:proofErr w:type="spellStart"/>
      <w:r w:rsidRPr="009F783C">
        <w:rPr>
          <w:i/>
        </w:rPr>
        <w:t>Regnum</w:t>
      </w:r>
      <w:proofErr w:type="spellEnd"/>
    </w:p>
    <w:p w:rsidR="00011E84" w:rsidRPr="00852AFF" w:rsidRDefault="0094631C" w:rsidP="00011E84">
      <w:pPr>
        <w:pStyle w:val="a9"/>
      </w:pPr>
      <w:hyperlink r:id="rId21" w:history="1">
        <w:r w:rsidR="00011E84" w:rsidRPr="00852AFF">
          <w:t>В ООН СООБЩИЛИ О РАБОТЕ НАД УСТРАНЕНИЕМ ПРЕПЯТСТВИЙ ДЛЯ ЭКСПОРТА УДОБРЕНИЙ ИЗ РФ</w:t>
        </w:r>
      </w:hyperlink>
    </w:p>
    <w:p w:rsidR="00011E84" w:rsidRDefault="00011E84" w:rsidP="00011E84">
      <w:r>
        <w:t xml:space="preserve">ООН работает над устранением препятствий для экспорта продовольствия и удобрений из России. Об этом заявила генеральный секретарь Конференции ООН по торговле и развитию экспорта </w:t>
      </w:r>
      <w:proofErr w:type="spellStart"/>
      <w:r>
        <w:t>Ребека</w:t>
      </w:r>
      <w:proofErr w:type="spellEnd"/>
      <w:r>
        <w:t xml:space="preserve"> </w:t>
      </w:r>
      <w:proofErr w:type="spellStart"/>
      <w:r>
        <w:t>Гринспен</w:t>
      </w:r>
      <w:proofErr w:type="spellEnd"/>
      <w:r>
        <w:t>.</w:t>
      </w:r>
    </w:p>
    <w:p w:rsidR="00011E84" w:rsidRPr="00011E84" w:rsidRDefault="00011E84" w:rsidP="00011E84">
      <w:r>
        <w:t xml:space="preserve">"Мы стараемся устранить имеющиеся препятствия в сфере финансов, страхования, транспортировки", - сказала она. </w:t>
      </w:r>
      <w:r>
        <w:rPr>
          <w:i/>
        </w:rPr>
        <w:t xml:space="preserve">Известия 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:rsidR="00852AFF" w:rsidRPr="00852AFF" w:rsidRDefault="0094631C" w:rsidP="00852AFF">
      <w:pPr>
        <w:pStyle w:val="a9"/>
      </w:pPr>
      <w:hyperlink r:id="rId22" w:history="1">
        <w:r w:rsidR="00852AFF" w:rsidRPr="00852AFF">
          <w:t>ДЕФЛЯЦИЯ В РФ С 23 ИЮЛЯ ПО 1 АВГУСТА СОСТАВИЛА 0,14%, ГОДОВАЯ ИНФЛЯЦИЯ УШЛА НИЖЕ 15,3%</w:t>
        </w:r>
      </w:hyperlink>
    </w:p>
    <w:p w:rsidR="00852AFF" w:rsidRPr="009A2027" w:rsidRDefault="00852AFF" w:rsidP="00852AFF">
      <w:r>
        <w:t>Росстат с 23 июля по 1 августа 2022 года (за 10 дней) зафиксировал в РФ дефляцию на уровне 0,14% после дефляции в 0,08% с 16 по 22 июля, дефляции в 0,17% с 9 по 15 июля, д</w:t>
      </w:r>
      <w:r w:rsidR="009A2027">
        <w:t xml:space="preserve">ефляции в 0,03% со 2 по 8 июля. </w:t>
      </w:r>
      <w:r w:rsidRPr="0086706A">
        <w:rPr>
          <w:i/>
        </w:rPr>
        <w:t>Интерфакс</w:t>
      </w:r>
    </w:p>
    <w:p w:rsidR="006648F3" w:rsidRPr="00B87B95" w:rsidRDefault="0094631C" w:rsidP="006648F3">
      <w:pPr>
        <w:pStyle w:val="a9"/>
      </w:pPr>
      <w:hyperlink r:id="rId23" w:history="1">
        <w:r w:rsidR="006648F3" w:rsidRPr="00B87B95">
          <w:t>ПОРУЧИТЕЛЬСТВА КМСП ПОМОГЛИ МАЛОМУ БИЗНЕСУ ПРИВЛЕЧЬ РЕКОРДНЫЕ КРЕДИТЫ</w:t>
        </w:r>
      </w:hyperlink>
    </w:p>
    <w:p w:rsidR="006648F3" w:rsidRDefault="006648F3" w:rsidP="006648F3">
      <w:r>
        <w:t>Малый и средний бизнес привлек в первом полугодии 2022 года благодаря поручительствам Корпорации МСП рекордные 210 миллиардов рублей кредитов, что вдвое больше аналогичного прошлогоднего уровня, сообщает пресс-служба института развития.</w:t>
      </w:r>
    </w:p>
    <w:p w:rsidR="006648F3" w:rsidRPr="009A2027" w:rsidRDefault="006648F3" w:rsidP="006648F3">
      <w:r>
        <w:t xml:space="preserve">При этом более, чем в 7 раз - с двух до 15 тысяч увеличилось количество предприятий, получивших кредит под поручительство КМСП, что также является рекордным показателем. В этих компаниях работает свыше 230 тысяч человек. На микро- и малый бизнес пришлось 97% всех получателей господдержки, причем доля </w:t>
      </w:r>
      <w:proofErr w:type="spellStart"/>
      <w:r>
        <w:t>микропредприятий</w:t>
      </w:r>
      <w:proofErr w:type="spellEnd"/>
      <w:r>
        <w:t xml:space="preserve"> выросла в 11 раз - до 10 тысяч.</w:t>
      </w:r>
      <w:r w:rsidR="009A2027">
        <w:t xml:space="preserve"> </w:t>
      </w:r>
      <w:r w:rsidRPr="00ED4FB8">
        <w:rPr>
          <w:i/>
        </w:rPr>
        <w:t>РИА Новости</w:t>
      </w:r>
    </w:p>
    <w:p w:rsidR="006648F3" w:rsidRPr="00B87B95" w:rsidRDefault="0094631C" w:rsidP="006648F3">
      <w:pPr>
        <w:pStyle w:val="a9"/>
      </w:pPr>
      <w:hyperlink r:id="rId24" w:history="1">
        <w:r w:rsidR="006648F3" w:rsidRPr="00B87B95">
          <w:t>МИНФИН ВЕДЕТ ПОДГОТОВКУ К ПОДПИСАНИЮ НАЛОГОВОГО СОГЛАШЕНИЯ С ОМАНОМ</w:t>
        </w:r>
      </w:hyperlink>
    </w:p>
    <w:p w:rsidR="006648F3" w:rsidRDefault="006648F3" w:rsidP="006648F3">
      <w:r>
        <w:t xml:space="preserve">Минфин России ведет работу по подготовке к подписанию соглашения об </w:t>
      </w:r>
      <w:proofErr w:type="spellStart"/>
      <w:r>
        <w:t>избежании</w:t>
      </w:r>
      <w:proofErr w:type="spellEnd"/>
      <w:r>
        <w:t xml:space="preserve"> двойного налогообложения с Оманом. При этом в министерстве не уточнили, когда планируется начать переговоры по соглашению и примерную дату подписания документа. </w:t>
      </w:r>
    </w:p>
    <w:p w:rsidR="00C8396B" w:rsidRDefault="006648F3" w:rsidP="00F71678">
      <w:r>
        <w:t xml:space="preserve">Сейчас РФ активно пересматривает налоговые соглашения с рядом стран. При этом Россия уже договорилась о соответствующем пересмотре с Республикой Кипр, Великим Герцогством Люксембург и Мальтой. </w:t>
      </w:r>
      <w:r w:rsidRPr="00ED4FB8">
        <w:rPr>
          <w:i/>
        </w:rPr>
        <w:t>ТАСС</w:t>
      </w:r>
      <w:bookmarkEnd w:id="11"/>
    </w:p>
    <w:sectPr w:rsidR="00C8396B" w:rsidSect="005F3758">
      <w:headerReference w:type="default" r:id="rId25"/>
      <w:footerReference w:type="default" r:id="rId26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1C" w:rsidRDefault="0094631C">
      <w:r>
        <w:separator/>
      </w:r>
    </w:p>
  </w:endnote>
  <w:endnote w:type="continuationSeparator" w:id="0">
    <w:p w:rsidR="0094631C" w:rsidRDefault="0094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D22E7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22E7C">
            <w:rPr>
              <w:rFonts w:cs="Arial"/>
              <w:color w:val="90989E"/>
              <w:sz w:val="16"/>
              <w:szCs w:val="16"/>
            </w:rPr>
            <w:t>4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0605F8">
            <w:rPr>
              <w:rFonts w:cs="Arial"/>
              <w:color w:val="90989E"/>
              <w:sz w:val="16"/>
              <w:szCs w:val="16"/>
            </w:rPr>
            <w:t>августа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D22E7C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71678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D22E7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22E7C">
            <w:rPr>
              <w:rFonts w:cs="Arial"/>
              <w:color w:val="90989E"/>
              <w:sz w:val="16"/>
              <w:szCs w:val="16"/>
            </w:rPr>
            <w:t>4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0605F8">
            <w:rPr>
              <w:rFonts w:cs="Arial"/>
              <w:color w:val="90989E"/>
              <w:sz w:val="16"/>
              <w:szCs w:val="16"/>
            </w:rPr>
            <w:t>августа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D22E7C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71678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1C" w:rsidRDefault="0094631C">
      <w:r>
        <w:separator/>
      </w:r>
    </w:p>
  </w:footnote>
  <w:footnote w:type="continuationSeparator" w:id="0">
    <w:p w:rsidR="0094631C" w:rsidRDefault="00946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B3664E9" wp14:editId="10CA1065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2AFF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DAF25F4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2AFF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0B883B3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F"/>
    <w:rsid w:val="00011E84"/>
    <w:rsid w:val="0003491F"/>
    <w:rsid w:val="0004796A"/>
    <w:rsid w:val="000605F8"/>
    <w:rsid w:val="00066C93"/>
    <w:rsid w:val="00075D08"/>
    <w:rsid w:val="000C406C"/>
    <w:rsid w:val="000F5859"/>
    <w:rsid w:val="00193BF6"/>
    <w:rsid w:val="00195925"/>
    <w:rsid w:val="001E7B44"/>
    <w:rsid w:val="00263297"/>
    <w:rsid w:val="00270257"/>
    <w:rsid w:val="002E5101"/>
    <w:rsid w:val="002F3E6C"/>
    <w:rsid w:val="002F4FCB"/>
    <w:rsid w:val="003058E2"/>
    <w:rsid w:val="00317F41"/>
    <w:rsid w:val="00385CFC"/>
    <w:rsid w:val="003C3C67"/>
    <w:rsid w:val="003E1479"/>
    <w:rsid w:val="003E385F"/>
    <w:rsid w:val="003F252B"/>
    <w:rsid w:val="00400A0E"/>
    <w:rsid w:val="00414286"/>
    <w:rsid w:val="004304C8"/>
    <w:rsid w:val="00484041"/>
    <w:rsid w:val="00493063"/>
    <w:rsid w:val="004A2817"/>
    <w:rsid w:val="004D37A6"/>
    <w:rsid w:val="005233A0"/>
    <w:rsid w:val="005240C2"/>
    <w:rsid w:val="005A0AAB"/>
    <w:rsid w:val="005D5015"/>
    <w:rsid w:val="005F3758"/>
    <w:rsid w:val="006010ED"/>
    <w:rsid w:val="00604F1E"/>
    <w:rsid w:val="00660413"/>
    <w:rsid w:val="006648F3"/>
    <w:rsid w:val="006A0208"/>
    <w:rsid w:val="006E5C80"/>
    <w:rsid w:val="006E64AC"/>
    <w:rsid w:val="0074571A"/>
    <w:rsid w:val="00750476"/>
    <w:rsid w:val="007910D0"/>
    <w:rsid w:val="00794231"/>
    <w:rsid w:val="007C30C8"/>
    <w:rsid w:val="007C74FF"/>
    <w:rsid w:val="007E2160"/>
    <w:rsid w:val="007F0AB1"/>
    <w:rsid w:val="0080224C"/>
    <w:rsid w:val="00814B4D"/>
    <w:rsid w:val="00852AFF"/>
    <w:rsid w:val="008534AF"/>
    <w:rsid w:val="00872BFB"/>
    <w:rsid w:val="00880679"/>
    <w:rsid w:val="008E1126"/>
    <w:rsid w:val="008F6174"/>
    <w:rsid w:val="0094631C"/>
    <w:rsid w:val="00976856"/>
    <w:rsid w:val="00985DA8"/>
    <w:rsid w:val="009A2027"/>
    <w:rsid w:val="009B4B1F"/>
    <w:rsid w:val="009F5BD0"/>
    <w:rsid w:val="00A11DC8"/>
    <w:rsid w:val="00A12D82"/>
    <w:rsid w:val="00B13B93"/>
    <w:rsid w:val="00B276FB"/>
    <w:rsid w:val="00B574F3"/>
    <w:rsid w:val="00B922A1"/>
    <w:rsid w:val="00BC4068"/>
    <w:rsid w:val="00BC7E82"/>
    <w:rsid w:val="00BF48EC"/>
    <w:rsid w:val="00C01521"/>
    <w:rsid w:val="00C14B74"/>
    <w:rsid w:val="00C14EA4"/>
    <w:rsid w:val="00C23AC3"/>
    <w:rsid w:val="00C704A4"/>
    <w:rsid w:val="00C75EE3"/>
    <w:rsid w:val="00C8396B"/>
    <w:rsid w:val="00C87324"/>
    <w:rsid w:val="00C90FBF"/>
    <w:rsid w:val="00C9507B"/>
    <w:rsid w:val="00CD2DDE"/>
    <w:rsid w:val="00CD5A45"/>
    <w:rsid w:val="00D01745"/>
    <w:rsid w:val="00D22E7C"/>
    <w:rsid w:val="00D255C0"/>
    <w:rsid w:val="00D43C0B"/>
    <w:rsid w:val="00D52CCC"/>
    <w:rsid w:val="00E12208"/>
    <w:rsid w:val="00E4368A"/>
    <w:rsid w:val="00E447CF"/>
    <w:rsid w:val="00E867BD"/>
    <w:rsid w:val="00EA7B65"/>
    <w:rsid w:val="00F41E23"/>
    <w:rsid w:val="00F62502"/>
    <w:rsid w:val="00F65057"/>
    <w:rsid w:val="00F71678"/>
    <w:rsid w:val="00F73DC4"/>
    <w:rsid w:val="00F931FD"/>
    <w:rsid w:val="00FB060F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7D7EC-4B3B-43C2-8077-8F98CF48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71678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16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2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50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2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1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43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795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81788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6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20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1prime.ru/Agriculture/20220803/837688084.html" TargetMode="External"/><Relationship Id="rId18" Type="http://schemas.openxmlformats.org/officeDocument/2006/relationships/hyperlink" Target="https://tass.ru/v-strane/15384025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iz.ru/1374566/2022-08-03/v-oon-soobshchili-o-rabote-nad-ustraneniem-prepiatstvii-dlia-eksporta-udobrenii-iz-rf" TargetMode="External"/><Relationship Id="rId7" Type="http://schemas.openxmlformats.org/officeDocument/2006/relationships/hyperlink" Target="https://tass.ru/ekonomika/15387325" TargetMode="External"/><Relationship Id="rId12" Type="http://schemas.openxmlformats.org/officeDocument/2006/relationships/hyperlink" Target="https://tass.ru/ekonomika/15382613" TargetMode="External"/><Relationship Id="rId17" Type="http://schemas.openxmlformats.org/officeDocument/2006/relationships/hyperlink" Target="https://fedpress.ru/news/56/economy/3067522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iz.ru/1374221/2022-08-03/samoobespechennost-primoria-teplichnymi-ovoshchami-vyrosla-do-38" TargetMode="External"/><Relationship Id="rId20" Type="http://schemas.openxmlformats.org/officeDocument/2006/relationships/hyperlink" Target="https://regnum.ru/news/365977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obschestvo/15388643" TargetMode="External"/><Relationship Id="rId24" Type="http://schemas.openxmlformats.org/officeDocument/2006/relationships/hyperlink" Target="https://tass.ru/ekonomika/153810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domosti.ru/business/news/2022/08/03/934399-chernogolovka-rasskazala-o-planah-zanyat-50-rinka" TargetMode="External"/><Relationship Id="rId23" Type="http://schemas.openxmlformats.org/officeDocument/2006/relationships/hyperlink" Target="https://ria.ru/20220803/kredity-1806734199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ass.ru/ekonomika/15387145" TargetMode="External"/><Relationship Id="rId19" Type="http://schemas.openxmlformats.org/officeDocument/2006/relationships/hyperlink" Target="https://iz.ru/1374461/2022-08-03/eshche-140-mln-rublei-napraviat-na-stroitelstvo-bolshogo-stavropolskogo-kanal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ass.ru/ekonomika/15379575" TargetMode="External"/><Relationship Id="rId22" Type="http://schemas.openxmlformats.org/officeDocument/2006/relationships/hyperlink" Target="https://www.interfax.ru/business/855154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65</TotalTime>
  <Pages>5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13</cp:revision>
  <cp:lastPrinted>2022-08-04T07:49:00Z</cp:lastPrinted>
  <dcterms:created xsi:type="dcterms:W3CDTF">2022-08-04T04:56:00Z</dcterms:created>
  <dcterms:modified xsi:type="dcterms:W3CDTF">2022-08-04T07:50:00Z</dcterms:modified>
</cp:coreProperties>
</file>