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B64C88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735"/>
        <w:gridCol w:w="281"/>
        <w:gridCol w:w="4404"/>
        <w:gridCol w:w="266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B64C88" w:rsidP="00B64C88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07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14286">
              <w:rPr>
                <w:rFonts w:cs="Arial"/>
                <w:color w:val="FFFFFF"/>
                <w:sz w:val="28"/>
                <w:szCs w:val="28"/>
              </w:rPr>
              <w:t>декабр</w:t>
            </w:r>
            <w:r w:rsidR="004D37A6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B64C88" w:rsidRDefault="0096386F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96386F" w:rsidRDefault="0096386F" w:rsidP="0096386F">
            <w:pPr>
              <w:pStyle w:val="a9"/>
            </w:pPr>
            <w:bookmarkStart w:id="5" w:name="SEC_1"/>
            <w:r>
              <w:t>18 февраля 2022</w:t>
            </w:r>
          </w:p>
          <w:p w:rsidR="00A91474" w:rsidRDefault="00A91474" w:rsidP="00A91474">
            <w:r>
              <w:t>Краснодар</w:t>
            </w:r>
          </w:p>
          <w:p w:rsidR="0096386F" w:rsidRDefault="00A91474" w:rsidP="00A91474">
            <w:r>
              <w:t xml:space="preserve">СЕЛЬСКОХОЗЯЙСТВЕННЫЙ ФОРУМ «ЗЕРНО РОССИИ-2022». Организатор: Журнал </w:t>
            </w:r>
            <w:r w:rsidRPr="00A91474">
              <w:t>Агробизнес</w:t>
            </w:r>
            <w:r>
              <w:t>.</w:t>
            </w:r>
          </w:p>
          <w:p w:rsidR="00A91474" w:rsidRDefault="00A91474" w:rsidP="00A91474"/>
          <w:bookmarkEnd w:id="5"/>
          <w:p w:rsidR="0096386F" w:rsidRDefault="0096386F" w:rsidP="0096386F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96386F" w:rsidRPr="006A1F32" w:rsidRDefault="0096386F" w:rsidP="00B64C88"/>
          <w:p w:rsidR="00C8396B" w:rsidRDefault="00B64C88" w:rsidP="00A91474">
            <w:r w:rsidRPr="006A1F32">
              <w:t>7 декабря</w:t>
            </w:r>
            <w:r w:rsidR="00A91474">
              <w:t xml:space="preserve"> - </w:t>
            </w:r>
            <w:r w:rsidRPr="006A1F32">
              <w:t>День инженерно-авиационной службы ВКС России</w:t>
            </w:r>
            <w:r w:rsidR="00A91474">
              <w:t>.</w:t>
            </w:r>
            <w:bookmarkEnd w:id="4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B64C88" w:rsidRDefault="002E5D85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F56078" w:rsidRPr="00B64C88" w:rsidRDefault="004B0DEE" w:rsidP="00F56078">
            <w:pPr>
              <w:pStyle w:val="a9"/>
            </w:pPr>
            <w:hyperlink r:id="rId7" w:history="1">
              <w:r w:rsidR="00F56078" w:rsidRPr="00B64C88">
                <w:t>ГОСУДАРСТВО УВЕЛИЧИТ ПОДДЕРЖКУ АГРАРНОГО ОБРАЗОВАНИЯ</w:t>
              </w:r>
            </w:hyperlink>
          </w:p>
          <w:p w:rsidR="00F56078" w:rsidRDefault="00F56078" w:rsidP="00F56078">
            <w:r>
              <w:t xml:space="preserve">Несмотря на пандемию, в 2021 году в аграрные вузы страны зачислено более 81 тысячи человек - больше, чем в прошлом году. Об этом рассказал министр сельского хозяйства РФ </w:t>
            </w:r>
            <w:r w:rsidRPr="00B64C88">
              <w:rPr>
                <w:b/>
              </w:rPr>
              <w:t>Дмитрий Патрушев</w:t>
            </w:r>
            <w:r>
              <w:t xml:space="preserve"> на всероссийском совещании с ректорами подведомственных </w:t>
            </w:r>
            <w:proofErr w:type="spellStart"/>
            <w:r w:rsidRPr="00B64C88">
              <w:rPr>
                <w:b/>
              </w:rPr>
              <w:t>минсельхозу</w:t>
            </w:r>
            <w:proofErr w:type="spellEnd"/>
            <w:r>
              <w:t xml:space="preserve"> вузов.</w:t>
            </w:r>
          </w:p>
          <w:p w:rsidR="00F56078" w:rsidRPr="00BA4F8C" w:rsidRDefault="00F56078" w:rsidP="00F56078">
            <w:pPr>
              <w:rPr>
                <w:i/>
              </w:rPr>
            </w:pPr>
            <w:r>
              <w:t xml:space="preserve">По словам </w:t>
            </w:r>
            <w:r w:rsidRPr="00B64C88">
              <w:rPr>
                <w:b/>
              </w:rPr>
              <w:t>министра</w:t>
            </w:r>
            <w:r>
              <w:t xml:space="preserve">, сейчас большое внимание уделяется развитию материально-технической базы образовательных организаций. "Даже несмотря на ограниченность бюджетных средств, финансирование вузов сохраняется на высоком уровне. В текущем году предусмотрено около 30 миллиардов рублей. Что очень важно, акцент сделан в частности на выполнение научно-исследовательских работ. В следующем году бюджетом предусмотрено 31,2 миллиарда рублей. Ряд аграрных вузов включен в программу стратегического академического лидерства "Приоритет-2030". Она в целом предполагает масштабную инновационную трансформацию системы образования и, конечно, дополнительные объемы господдержки", - заявил </w:t>
            </w:r>
            <w:r w:rsidRPr="00B64C88">
              <w:rPr>
                <w:b/>
              </w:rPr>
              <w:t>Дмитрий Патрушев</w:t>
            </w:r>
            <w:r>
              <w:t xml:space="preserve">. </w:t>
            </w:r>
            <w:r>
              <w:rPr>
                <w:i/>
              </w:rPr>
              <w:t xml:space="preserve">Российская газета </w:t>
            </w:r>
          </w:p>
          <w:p w:rsidR="00A91474" w:rsidRPr="00B64C88" w:rsidRDefault="004B0DEE" w:rsidP="00A91474">
            <w:pPr>
              <w:pStyle w:val="a9"/>
            </w:pPr>
            <w:hyperlink r:id="rId8" w:history="1">
              <w:r w:rsidR="00A91474" w:rsidRPr="00B64C88">
                <w:t>ПОСЕВНЫЕ ПЛОЩАДИ ПОД УРОЖАЙ 2022 ГОДА БУДУТ РАСШИРЕНЫ ДО 81,2 МЛН ГА</w:t>
              </w:r>
            </w:hyperlink>
          </w:p>
          <w:p w:rsidR="00A91474" w:rsidRDefault="00A91474" w:rsidP="00A91474">
            <w:r>
              <w:t xml:space="preserve">Посевные площади под урожай 2022 года в России будут расширены до 81,2 млн га против 79,9 млн га. Об этом говорится в сообщении </w:t>
            </w:r>
            <w:r w:rsidRPr="00B64C88">
              <w:rPr>
                <w:b/>
              </w:rPr>
              <w:t>Минсельхоза</w:t>
            </w:r>
            <w:r>
              <w:t>.</w:t>
            </w:r>
          </w:p>
          <w:p w:rsidR="00C8396B" w:rsidRPr="00A91474" w:rsidRDefault="00A91474" w:rsidP="00A91474">
            <w:pPr>
              <w:rPr>
                <w:i/>
              </w:rPr>
            </w:pPr>
            <w:r>
              <w:t xml:space="preserve">В </w:t>
            </w:r>
            <w:r w:rsidRPr="00B64C88">
              <w:rPr>
                <w:b/>
              </w:rPr>
              <w:t>Минсельхозе</w:t>
            </w:r>
            <w:r>
              <w:t xml:space="preserve"> сообщили, что в настоящее время отечественные аграрии намолотили свыше 126,6 млн тонн зерна в бункерном весе, включая около 79 млн тонн пшеницы. Также в министерстве отметили прирост валового сбора масличных, сахарной свеклы, тепличных овощей, плодов и ягод. Дальнейшему наращиванию объемов производства в 2022 году будет способствовать увеличение посевных площадей под такими культурами как яровые зерновые, сахарная свекла, гречиха, соя и картофель. </w:t>
            </w:r>
            <w:r w:rsidRPr="00BA4F8C">
              <w:rPr>
                <w:i/>
              </w:rPr>
              <w:t>ТАСС</w:t>
            </w:r>
            <w:r>
              <w:rPr>
                <w:i/>
              </w:rPr>
              <w:t xml:space="preserve">, РИА Новости, Интерфакс, Крестьянские Ведомости </w:t>
            </w:r>
            <w:bookmarkEnd w:id="6"/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843574" w:rsidRPr="002C1EF3" w:rsidRDefault="00843574" w:rsidP="00843574">
      <w:pPr>
        <w:pStyle w:val="a9"/>
        <w:spacing w:before="0"/>
      </w:pPr>
      <w:r>
        <w:lastRenderedPageBreak/>
        <w:fldChar w:fldCharType="begin"/>
      </w:r>
      <w:r>
        <w:instrText xml:space="preserve"> HYPERLINK "https://tass.ru/ekonomika/13119831" </w:instrText>
      </w:r>
      <w:r>
        <w:fldChar w:fldCharType="separate"/>
      </w:r>
      <w:r w:rsidRPr="002C1EF3">
        <w:t>КРЕДИТОВАНИЕ СЕЗОННЫХ ПОЛЕВЫХ РАБОТ УВЕЛИЧИЛОСЬ НА 22,5%</w:t>
      </w:r>
      <w:r>
        <w:fldChar w:fldCharType="end"/>
      </w:r>
    </w:p>
    <w:p w:rsidR="00843574" w:rsidRDefault="00843574" w:rsidP="00843574">
      <w:r>
        <w:t xml:space="preserve">Кредитование сезонных полевых работ с начала 2021 года увеличилось в России на 22,5% и, по данным на 1 декабря, достигло 746 млрд рублей. Об этом говорится в сообщении </w:t>
      </w:r>
      <w:r w:rsidRPr="002C1EF3">
        <w:rPr>
          <w:b/>
        </w:rPr>
        <w:t>Минсельхоза</w:t>
      </w:r>
      <w:r>
        <w:t>.</w:t>
      </w:r>
    </w:p>
    <w:p w:rsidR="00843574" w:rsidRPr="00F528B1" w:rsidRDefault="00843574" w:rsidP="00843574">
      <w:pPr>
        <w:rPr>
          <w:i/>
        </w:rPr>
      </w:pPr>
      <w:r>
        <w:t xml:space="preserve">В частности, </w:t>
      </w:r>
      <w:proofErr w:type="spellStart"/>
      <w:r>
        <w:t>Россельхозбанком</w:t>
      </w:r>
      <w:proofErr w:type="spellEnd"/>
      <w:r>
        <w:t xml:space="preserve"> выдано 527,2 млрд рублей, Сбербанком - 218,8 млрд рублей. За аналогичный период 2020 года кредитование предприятий АПК на проведение сезонных полевых работ составило 608,9 млрд рублей, в том числе со стороны </w:t>
      </w:r>
      <w:proofErr w:type="spellStart"/>
      <w:r>
        <w:t>Россельхозбанка</w:t>
      </w:r>
      <w:proofErr w:type="spellEnd"/>
      <w:r>
        <w:t xml:space="preserve"> - на сумму 448,9 млрд рублей, Сбербанка - 160 млрд рублей. </w:t>
      </w:r>
      <w:r>
        <w:rPr>
          <w:i/>
        </w:rPr>
        <w:t xml:space="preserve">ТАСС, </w:t>
      </w:r>
      <w:r w:rsidR="00AF1BE3">
        <w:rPr>
          <w:i/>
        </w:rPr>
        <w:t xml:space="preserve">Интерфакс, </w:t>
      </w:r>
      <w:r>
        <w:rPr>
          <w:i/>
        </w:rPr>
        <w:t xml:space="preserve">Крестьянские Ведомости, </w:t>
      </w:r>
      <w:r w:rsidRPr="00F528B1">
        <w:rPr>
          <w:i/>
        </w:rPr>
        <w:t>ПРАЙМ</w:t>
      </w:r>
      <w:r>
        <w:rPr>
          <w:i/>
        </w:rPr>
        <w:t>,</w:t>
      </w:r>
      <w:r w:rsidRPr="00843574">
        <w:rPr>
          <w:i/>
        </w:rPr>
        <w:t xml:space="preserve"> </w:t>
      </w:r>
      <w:r w:rsidRPr="00BA4F8C">
        <w:rPr>
          <w:i/>
        </w:rPr>
        <w:t>MilkNews.ru</w:t>
      </w:r>
    </w:p>
    <w:p w:rsidR="00843574" w:rsidRDefault="00843574" w:rsidP="008D452B">
      <w:pPr>
        <w:pStyle w:val="a9"/>
        <w:spacing w:before="0"/>
      </w:pPr>
    </w:p>
    <w:p w:rsidR="00043E7C" w:rsidRPr="00B64C88" w:rsidRDefault="00043E7C" w:rsidP="008D452B">
      <w:pPr>
        <w:pStyle w:val="a9"/>
        <w:spacing w:before="0"/>
      </w:pPr>
      <w:r w:rsidRPr="00B64C88">
        <w:t>Свиноводы фиксируют падение цен на мясо</w:t>
      </w:r>
    </w:p>
    <w:p w:rsidR="00043E7C" w:rsidRDefault="00043E7C" w:rsidP="00043E7C">
      <w:r>
        <w:t>Цены на живых свиней и полутуши на неделе с 29 ноября по 5 декабря снизились ниже уровня 2020 года, говорится в мониторинге Национального союза свиноводов (НСС), с которым ознакомился "Ъ". По данным НСС, стоимость живых свиней за неделю сократилась на 7,2%, до 96,8 руб. за 1 кг, полутуш - на 4,9%, до 146,46 руб. за 1 кг. В 2020 году средние цены составляли 100 руб. и 148,1 руб. за 1 кг соответственно. Стоимость разделанного мяса за прошлую неделю снизилась на 1,7%, до 229 руб. за 1 кг, что пока выше среднего уровня за 2020 год - 205,8 руб. за 1 кг.</w:t>
      </w:r>
    </w:p>
    <w:p w:rsidR="008D452B" w:rsidRDefault="00043E7C" w:rsidP="008D452B">
      <w:pPr>
        <w:rPr>
          <w:i/>
        </w:rPr>
      </w:pPr>
      <w:r>
        <w:t xml:space="preserve">По словам гендиректора НСС Юрия Ковалева, после окончания сезона шашлыков наблюдается снижение спроса на свинину, а в четвертом квартале на рынок стало давить увеличение предложения. По данным </w:t>
      </w:r>
      <w:r w:rsidRPr="00B64C88">
        <w:rPr>
          <w:b/>
        </w:rPr>
        <w:t>Минсельхоза</w:t>
      </w:r>
      <w:r>
        <w:t xml:space="preserve">, производство свинины в январе - октябре в индустриальном секторе выросло на 0,9%, до 3,99 млн тонн год к году. По итогам года НСС прогнозирует объем рынка 4,9 млн тонн, что на 1% выше, чем в 2020 году. </w:t>
      </w:r>
      <w:r w:rsidR="008D452B" w:rsidRPr="008D452B">
        <w:t xml:space="preserve">В </w:t>
      </w:r>
      <w:r w:rsidR="008D452B" w:rsidRPr="008D452B">
        <w:rPr>
          <w:b/>
        </w:rPr>
        <w:t xml:space="preserve">Минсельхозе </w:t>
      </w:r>
      <w:r w:rsidR="008D452B" w:rsidRPr="008D452B">
        <w:t xml:space="preserve">наблюдают снижение стоимости свинины на фоне увеличения производства и сезонного сокращения спроса. Развитию тенденции будет способствовать и решение о беспошлинном импорте 100 тыс. тонн свинины в будущем году, отметили там. В министерстве добавили, что допускают возможность отмены этой меры, исходя из темпов роста производства свинины и ценовой ситуации. </w:t>
      </w:r>
      <w:r w:rsidR="00A91474">
        <w:rPr>
          <w:i/>
        </w:rPr>
        <w:t xml:space="preserve">Коммерсантъ, </w:t>
      </w:r>
      <w:r w:rsidRPr="00BA4F8C">
        <w:rPr>
          <w:i/>
        </w:rPr>
        <w:t>ПРАЙМ</w:t>
      </w:r>
      <w:r w:rsidR="00A91474">
        <w:rPr>
          <w:i/>
        </w:rPr>
        <w:t xml:space="preserve">, </w:t>
      </w:r>
      <w:proofErr w:type="spellStart"/>
      <w:r w:rsidR="00A91474">
        <w:rPr>
          <w:i/>
        </w:rPr>
        <w:t>Рен</w:t>
      </w:r>
      <w:proofErr w:type="spellEnd"/>
      <w:r w:rsidR="00A91474">
        <w:rPr>
          <w:i/>
        </w:rPr>
        <w:t xml:space="preserve"> ТВ, </w:t>
      </w:r>
      <w:proofErr w:type="spellStart"/>
      <w:r w:rsidRPr="00BA4F8C">
        <w:rPr>
          <w:i/>
        </w:rPr>
        <w:t>Lenta.Ru</w:t>
      </w:r>
      <w:proofErr w:type="spellEnd"/>
      <w:r w:rsidRPr="00BA4F8C">
        <w:rPr>
          <w:i/>
        </w:rPr>
        <w:t>, ИА Росбалт</w:t>
      </w:r>
      <w:r w:rsidR="00A91474">
        <w:rPr>
          <w:i/>
        </w:rPr>
        <w:t>,</w:t>
      </w:r>
      <w:r w:rsidR="00A91474" w:rsidRPr="00A91474">
        <w:rPr>
          <w:i/>
        </w:rPr>
        <w:t xml:space="preserve"> </w:t>
      </w:r>
      <w:proofErr w:type="spellStart"/>
      <w:r w:rsidR="00A91474" w:rsidRPr="00BA4F8C">
        <w:rPr>
          <w:i/>
        </w:rPr>
        <w:t>Газета.Ru</w:t>
      </w:r>
      <w:proofErr w:type="spellEnd"/>
    </w:p>
    <w:p w:rsidR="008D452B" w:rsidRDefault="008D452B" w:rsidP="008D452B">
      <w:pPr>
        <w:rPr>
          <w:i/>
        </w:rPr>
      </w:pPr>
    </w:p>
    <w:p w:rsidR="00043E7C" w:rsidRPr="008D452B" w:rsidRDefault="00043E7C" w:rsidP="008D452B">
      <w:pPr>
        <w:rPr>
          <w:b/>
          <w:i/>
        </w:rPr>
      </w:pPr>
      <w:r w:rsidRPr="008D452B">
        <w:rPr>
          <w:b/>
        </w:rPr>
        <w:t>НА ВЕРФЯХ УЧАСТИЛИСЬ СЛУЧАИ КАБОТАЖА</w:t>
      </w:r>
    </w:p>
    <w:p w:rsidR="00043E7C" w:rsidRDefault="00043E7C" w:rsidP="008D452B">
      <w:r>
        <w:t>Суда зарубежной постройки ограничат в использовании</w:t>
      </w:r>
    </w:p>
    <w:p w:rsidR="00043E7C" w:rsidRPr="008D452B" w:rsidRDefault="00043E7C" w:rsidP="008D452B">
      <w:proofErr w:type="spellStart"/>
      <w:r>
        <w:t>Минпромторг</w:t>
      </w:r>
      <w:proofErr w:type="spellEnd"/>
      <w:r>
        <w:t xml:space="preserve"> внес </w:t>
      </w:r>
      <w:r w:rsidR="008D452B">
        <w:t xml:space="preserve">в правительство проект, </w:t>
      </w:r>
      <w:proofErr w:type="spellStart"/>
      <w:r w:rsidR="008D452B">
        <w:t>запреща</w:t>
      </w:r>
      <w:r>
        <w:t>щий</w:t>
      </w:r>
      <w:proofErr w:type="spellEnd"/>
      <w:r>
        <w:t xml:space="preserve"> использовать суда нероссийской </w:t>
      </w:r>
      <w:r w:rsidRPr="008D452B">
        <w:t xml:space="preserve">постройки при перевозках топлива по </w:t>
      </w:r>
      <w:proofErr w:type="spellStart"/>
      <w:r w:rsidRPr="008D452B">
        <w:t>Севморпути</w:t>
      </w:r>
      <w:proofErr w:type="spellEnd"/>
      <w:r w:rsidRPr="008D452B">
        <w:t>, ледокольной и лоцманской проводке, а также в каботажном плавании.</w:t>
      </w:r>
    </w:p>
    <w:p w:rsidR="008D452B" w:rsidRPr="008D452B" w:rsidRDefault="00043E7C" w:rsidP="008D452B">
      <w:r w:rsidRPr="008D452B">
        <w:t xml:space="preserve">Не все ведомства и участники рынка согласны с формулировками. </w:t>
      </w:r>
    </w:p>
    <w:p w:rsidR="008D452B" w:rsidRPr="008D452B" w:rsidRDefault="008D452B" w:rsidP="008D452B">
      <w:r w:rsidRPr="008D452B">
        <w:t xml:space="preserve">Минэкономики выдало на него отрицательную оценку регулирующего воздействия. </w:t>
      </w:r>
      <w:r w:rsidRPr="008D452B">
        <w:rPr>
          <w:b/>
        </w:rPr>
        <w:t>Минсельхоз</w:t>
      </w:r>
      <w:r w:rsidRPr="008D452B">
        <w:t xml:space="preserve"> же не согласовал документ: он настаивает на оценке реализуемости новых требований, поскольку «опыт строительства рыбопромысловых судов в рамках программы инвестиционных квот свидетельствует о существенных нарушениях сроков строительства и высокой загруженности судоверфей на ближайшие годы».</w:t>
      </w:r>
    </w:p>
    <w:p w:rsidR="00043E7C" w:rsidRPr="00BA4F8C" w:rsidRDefault="008D452B" w:rsidP="008D452B">
      <w:pPr>
        <w:rPr>
          <w:i/>
        </w:rPr>
      </w:pPr>
      <w:r w:rsidRPr="008D452B">
        <w:t xml:space="preserve">Другое возражение </w:t>
      </w:r>
      <w:r w:rsidRPr="008D452B">
        <w:rPr>
          <w:b/>
        </w:rPr>
        <w:t>Минсельхоза</w:t>
      </w:r>
      <w:r w:rsidRPr="008D452B">
        <w:t xml:space="preserve">, разделяемое и Минтрансом, касается каботажа. </w:t>
      </w:r>
      <w:r>
        <w:t xml:space="preserve">Ведомство </w:t>
      </w:r>
      <w:r w:rsidRPr="008D452B">
        <w:t>просил</w:t>
      </w:r>
      <w:r>
        <w:t>о</w:t>
      </w:r>
      <w:r w:rsidRPr="008D452B">
        <w:t xml:space="preserve"> исключить его из документа, в противном случае требование «существенно затруднит реализацию концепции транспортировки ры</w:t>
      </w:r>
      <w:r>
        <w:t xml:space="preserve">бной продукции по </w:t>
      </w:r>
      <w:proofErr w:type="spellStart"/>
      <w:r>
        <w:t>Севморпути</w:t>
      </w:r>
      <w:proofErr w:type="spellEnd"/>
      <w:r>
        <w:t xml:space="preserve">». </w:t>
      </w:r>
      <w:r w:rsidR="00A91474">
        <w:rPr>
          <w:i/>
        </w:rPr>
        <w:t>Коммерсантъ</w:t>
      </w:r>
    </w:p>
    <w:p w:rsidR="00043E7C" w:rsidRPr="002C1EF3" w:rsidRDefault="004B0DEE" w:rsidP="00043E7C">
      <w:pPr>
        <w:pStyle w:val="a9"/>
      </w:pPr>
      <w:hyperlink r:id="rId11" w:history="1">
        <w:r w:rsidR="00043E7C" w:rsidRPr="002C1EF3">
          <w:t>ЭКСПО</w:t>
        </w:r>
        <w:r w:rsidR="000C38B2">
          <w:t>РТ РОССИЙСКОГО ПИВА ВЫРОС НА 19%</w:t>
        </w:r>
      </w:hyperlink>
    </w:p>
    <w:p w:rsidR="00043E7C" w:rsidRDefault="00043E7C" w:rsidP="00043E7C">
      <w:r>
        <w:t>За 10 месяцев 2021 года (данные по ЕАЭС за девять месяцев) российский экспорт пива увеличился на 19% по сравнению с аналогичным периодом прошлого года и составил 144 млн долларов. В физическом выражении поставки выросли на 17% до 308 млн литров, приводит данные Федеральной таможенной службы (ФТС) центр "</w:t>
      </w:r>
      <w:proofErr w:type="spellStart"/>
      <w:r>
        <w:t>Агроэкспорт</w:t>
      </w:r>
      <w:proofErr w:type="spellEnd"/>
      <w:r>
        <w:t xml:space="preserve">" при </w:t>
      </w:r>
      <w:r w:rsidRPr="002C1EF3">
        <w:rPr>
          <w:b/>
        </w:rPr>
        <w:t>Минсельхозе</w:t>
      </w:r>
      <w:r>
        <w:t>.</w:t>
      </w:r>
    </w:p>
    <w:p w:rsidR="00043E7C" w:rsidRPr="000C38B2" w:rsidRDefault="00043E7C" w:rsidP="00043E7C">
      <w:r>
        <w:t>Основными покупателями российского пива остаются страны ЕАЭС - Беларусь (90 млн литров, плюс 31% к уровню прошлого года) и Казахстан (57 млн литров, плюс 25%). В 2021 году на третье место вышел Китай, нарастивший закупки российского пива на 21% - до 31 млн литров. Топ-5 покупателей российского пива замыкают Южная Осетия и Украина. В целом российское пиво экспортировалось более чем в 80 стран.</w:t>
      </w:r>
      <w:r w:rsidR="000C38B2">
        <w:t xml:space="preserve"> </w:t>
      </w:r>
      <w:r w:rsidR="000C38B2">
        <w:rPr>
          <w:i/>
        </w:rPr>
        <w:t>Российская газета</w:t>
      </w:r>
    </w:p>
    <w:p w:rsidR="00B64C88" w:rsidRDefault="00F62502" w:rsidP="00171E6C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F56078" w:rsidRPr="00B64C88" w:rsidRDefault="004B0DEE" w:rsidP="00F56078">
      <w:pPr>
        <w:pStyle w:val="a9"/>
      </w:pPr>
      <w:hyperlink r:id="rId12" w:history="1">
        <w:r w:rsidR="00F56078" w:rsidRPr="00B64C88">
          <w:t>ПУТИН ПОДПИСАЛ ЗАКОН, РАЗРЕШАЮЩИЙ ФЕРМЕРАМ ПРОДАВАТЬ ПРОДУКЦИЮ НА СВОИХ УЧАСТКАХ</w:t>
        </w:r>
      </w:hyperlink>
    </w:p>
    <w:p w:rsidR="00F56078" w:rsidRDefault="00F56078" w:rsidP="00F56078">
      <w:r w:rsidRPr="00D552AA">
        <w:t>Президент России Владимир Путин</w:t>
      </w:r>
      <w:r>
        <w:t xml:space="preserve"> подписал закон, который позволяет фермерам и </w:t>
      </w:r>
      <w:r w:rsidRPr="00D552AA">
        <w:t>сельскохозяйственным</w:t>
      </w:r>
      <w:r>
        <w:t xml:space="preserve"> кооперативам продавать товар не только на рынках или ярмарках, но и на собственных участках. Документ опубликован в понедельник на официальном портале правовой информации.</w:t>
      </w:r>
    </w:p>
    <w:p w:rsidR="00F56078" w:rsidRPr="002D20DE" w:rsidRDefault="00F56078" w:rsidP="00F56078">
      <w:pPr>
        <w:rPr>
          <w:i/>
        </w:rPr>
      </w:pPr>
      <w:r>
        <w:t xml:space="preserve">При этом документ устанавливает, что размещать нестационарные торговые объекты разрешено только на землях, не относящихся к </w:t>
      </w:r>
      <w:r w:rsidRPr="00D552AA">
        <w:t>сельскохозяйственным</w:t>
      </w:r>
      <w:r>
        <w:t xml:space="preserve"> угодьям. Кроме того, возведение этих объектов не должно нарушать почвенный слой земельного участка. </w:t>
      </w:r>
      <w:r>
        <w:rPr>
          <w:i/>
        </w:rPr>
        <w:t xml:space="preserve">ТАСС, Крестьянские Ведомости </w:t>
      </w:r>
    </w:p>
    <w:p w:rsidR="00BD784F" w:rsidRDefault="00BD784F" w:rsidP="00BD784F">
      <w:pPr>
        <w:rPr>
          <w:rFonts w:cs="Arial"/>
          <w:b/>
          <w:caps/>
          <w:color w:val="000000" w:themeColor="text1"/>
          <w:szCs w:val="18"/>
        </w:rPr>
      </w:pPr>
    </w:p>
    <w:p w:rsidR="00BD784F" w:rsidRPr="00BD784F" w:rsidRDefault="00BD784F" w:rsidP="00BD784F">
      <w:pPr>
        <w:rPr>
          <w:rFonts w:cs="Arial"/>
          <w:b/>
          <w:caps/>
          <w:color w:val="000000" w:themeColor="text1"/>
          <w:szCs w:val="18"/>
        </w:rPr>
      </w:pPr>
      <w:r w:rsidRPr="00BD784F">
        <w:rPr>
          <w:rFonts w:cs="Arial"/>
          <w:b/>
          <w:caps/>
          <w:color w:val="000000" w:themeColor="text1"/>
          <w:szCs w:val="18"/>
        </w:rPr>
        <w:t>Путин подписал закон, обеспечивающий обязательства РФ перед</w:t>
      </w:r>
      <w:r>
        <w:rPr>
          <w:rFonts w:cs="Arial"/>
          <w:b/>
          <w:caps/>
          <w:color w:val="000000" w:themeColor="text1"/>
          <w:szCs w:val="18"/>
        </w:rPr>
        <w:t xml:space="preserve"> ВТО по ветконтролю экспорта</w:t>
      </w:r>
    </w:p>
    <w:p w:rsidR="00BD784F" w:rsidRPr="00BD784F" w:rsidRDefault="00BD784F" w:rsidP="00BD784F">
      <w:r w:rsidRPr="00BD784F">
        <w:t>Президент России Владимир Путин подписал закон, обеспечивающий исполнение Россией обязательств в части ветеринарного контроля при экспорте российской сельхозпродукции, принятых при ее присоединении к Всемирной торговой организации (ВТО), соответствующий документ опубликован на официальном интерн</w:t>
      </w:r>
      <w:r>
        <w:t>ет-портале правовой информации.</w:t>
      </w:r>
    </w:p>
    <w:p w:rsidR="00BD784F" w:rsidRDefault="00BD784F" w:rsidP="00BD784F">
      <w:r w:rsidRPr="00BD784F">
        <w:t>Документ наделяет правительство РФ полномочием по определению порядка проведения обследований тех предприятий, которые пос</w:t>
      </w:r>
      <w:r>
        <w:t>тавляют продукцию на экспорт.</w:t>
      </w:r>
    </w:p>
    <w:p w:rsidR="00223D80" w:rsidRDefault="00BD784F" w:rsidP="00223D80">
      <w:pPr>
        <w:rPr>
          <w:i/>
        </w:rPr>
      </w:pPr>
      <w:r w:rsidRPr="00BD784F">
        <w:lastRenderedPageBreak/>
        <w:t>Причем порядок их обследования будет заявительный и бесплатный. Обследоваться будут объекты, связанные с выращиванием и содержанием животных, производством, хранением и переработкой подконтрольных товаров, вывозимых за рубеж.</w:t>
      </w:r>
      <w:r>
        <w:t xml:space="preserve"> </w:t>
      </w:r>
      <w:r w:rsidRPr="00BD784F">
        <w:rPr>
          <w:i/>
        </w:rPr>
        <w:t>РИА Новости</w:t>
      </w:r>
    </w:p>
    <w:p w:rsidR="00961CCD" w:rsidRDefault="00961CCD" w:rsidP="00223D80">
      <w:pPr>
        <w:rPr>
          <w:i/>
        </w:rPr>
      </w:pPr>
      <w:bookmarkStart w:id="10" w:name="_GoBack"/>
      <w:bookmarkEnd w:id="10"/>
    </w:p>
    <w:p w:rsidR="00F56078" w:rsidRPr="00223D80" w:rsidRDefault="004B0DEE" w:rsidP="00223D80">
      <w:pPr>
        <w:rPr>
          <w:b/>
          <w:i/>
        </w:rPr>
      </w:pPr>
      <w:hyperlink r:id="rId13" w:history="1">
        <w:r w:rsidR="00F56078" w:rsidRPr="00223D80">
          <w:rPr>
            <w:b/>
          </w:rPr>
          <w:t>МИНПРОМТОРГ ВЫДАЛ ЛИЦЕНЗИИ НА ЭКСПОРТ УДОБРЕНИЙ ИЗ РФ</w:t>
        </w:r>
      </w:hyperlink>
    </w:p>
    <w:p w:rsidR="00F56078" w:rsidRDefault="00F56078" w:rsidP="00F56078">
      <w:proofErr w:type="spellStart"/>
      <w:r>
        <w:t>Минпромторг</w:t>
      </w:r>
      <w:proofErr w:type="spellEnd"/>
      <w:r>
        <w:t xml:space="preserve"> РФ за выходные выдал 79 лицензий на экспорт удобрений, сообщили "Интерфаксу" в ведомстве.</w:t>
      </w:r>
    </w:p>
    <w:p w:rsidR="00F56078" w:rsidRPr="00A91474" w:rsidRDefault="00F56078" w:rsidP="00F56078">
      <w:r>
        <w:t xml:space="preserve">"5 декабря началось декларирование товаров по этим лицензиям и погрузка удобрений на экспорт", - сказал представитель министерства. </w:t>
      </w:r>
      <w:r w:rsidRPr="00F528B1">
        <w:rPr>
          <w:i/>
        </w:rPr>
        <w:t>Интерфакс</w:t>
      </w:r>
    </w:p>
    <w:p w:rsidR="00F56078" w:rsidRPr="00B64C88" w:rsidRDefault="004B0DEE" w:rsidP="00F56078">
      <w:pPr>
        <w:pStyle w:val="a9"/>
      </w:pPr>
      <w:hyperlink r:id="rId14" w:history="1">
        <w:r w:rsidR="00F56078" w:rsidRPr="00B64C88">
          <w:t>ДЕФИЦИТА КАРТОФЕЛЯ В 2022 ГОДУ УДАСТСЯ ИЗБЕЖАТЬ, СЧИТАЕТ МИТИН</w:t>
        </w:r>
      </w:hyperlink>
    </w:p>
    <w:p w:rsidR="00F56078" w:rsidRDefault="00F56078" w:rsidP="00F56078">
      <w:r>
        <w:t>Вовремя принятые Правительством меры позволят избежать дефицита картофеля в следующем году, заявил первый заместитель председателя Комитета Совета Федерации по аграрно-продовольственной политике и природопользованию Сергей Митин. Об этом сообщает в понедельник "</w:t>
      </w:r>
      <w:proofErr w:type="spellStart"/>
      <w:r>
        <w:t>СенатИнформ</w:t>
      </w:r>
      <w:proofErr w:type="spellEnd"/>
      <w:r>
        <w:t xml:space="preserve">". </w:t>
      </w:r>
    </w:p>
    <w:p w:rsidR="00F56078" w:rsidRPr="00A91474" w:rsidRDefault="00F56078" w:rsidP="00F56078">
      <w:r>
        <w:t xml:space="preserve">Митин подтвердил, что на урожай плодоовощной культуры негативно повлияли и засуха, и снижение количества картофеля, выращиваемого фермерами. В то же время он подчеркнул, что увеличение переработки овоща, напротив, хороший знак. В этом году на переработку отправлено около 1,5 миллиона тонн картофеля, и, как отметил сенатор, таких масштабов раньше не было, а "производство и крахмала, и ряда других необходимых продуктов сегодня начали развивать". </w:t>
      </w:r>
      <w:r>
        <w:rPr>
          <w:i/>
        </w:rPr>
        <w:t>Парламентская газета, Крестьянские Ведомости</w:t>
      </w:r>
    </w:p>
    <w:p w:rsidR="00F56078" w:rsidRPr="00B64C88" w:rsidRDefault="004B0DEE" w:rsidP="00F56078">
      <w:pPr>
        <w:pStyle w:val="a9"/>
      </w:pPr>
      <w:hyperlink r:id="rId15" w:history="1">
        <w:r w:rsidR="00F56078" w:rsidRPr="00B64C88">
          <w:t>СЕНАТОР НАЗВАЛ СПОСОБ СДЕЛАТЬ АГРАРНЫЕ ПРОФЕССИИ ПРИВЛЕКАТЕЛЬНЫМИ</w:t>
        </w:r>
      </w:hyperlink>
    </w:p>
    <w:p w:rsidR="00F56078" w:rsidRDefault="00F56078" w:rsidP="00F56078">
      <w:r>
        <w:t xml:space="preserve">Готовить профессионалов для аграрной отрасли России помогут профильные олимпиады, считает председатель комитета </w:t>
      </w:r>
      <w:r w:rsidRPr="00D552AA">
        <w:t>Совета Федерации</w:t>
      </w:r>
      <w:r>
        <w:t xml:space="preserve"> по бюджету и финансовым рынкам Анатолий Артамонов.</w:t>
      </w:r>
    </w:p>
    <w:p w:rsidR="00F56078" w:rsidRPr="00F56078" w:rsidRDefault="00F56078" w:rsidP="00F56078">
      <w:r>
        <w:t xml:space="preserve">"Сегодня аграрная сфера нуждается в молодых высококвалифицированных специалистах. Для интенсивного развития отрасли </w:t>
      </w:r>
      <w:r w:rsidRPr="00D552AA">
        <w:t>сельского хозяйства</w:t>
      </w:r>
      <w:r>
        <w:t xml:space="preserve"> важно, черпая кадры из большого проекта "Я - профессионал", способствовать дальнейшему развитию животноводства, биотехнологий, </w:t>
      </w:r>
      <w:proofErr w:type="spellStart"/>
      <w:r w:rsidRPr="00D552AA">
        <w:t>агроинженерии</w:t>
      </w:r>
      <w:proofErr w:type="spellEnd"/>
      <w:r>
        <w:t xml:space="preserve">, генной инженерии и других передовых направлений </w:t>
      </w:r>
      <w:r w:rsidRPr="00D552AA">
        <w:t>АПК</w:t>
      </w:r>
      <w:r>
        <w:t xml:space="preserve">", - приводит слова Артамонова его пресс-служба. </w:t>
      </w:r>
      <w:r>
        <w:rPr>
          <w:i/>
        </w:rPr>
        <w:t xml:space="preserve">Российская газета 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:rsidR="00612E47" w:rsidRPr="00B64C88" w:rsidRDefault="004B0DEE" w:rsidP="00612E47">
      <w:pPr>
        <w:pStyle w:val="a9"/>
      </w:pPr>
      <w:hyperlink r:id="rId16" w:history="1">
        <w:r w:rsidR="00612E47" w:rsidRPr="00B64C88">
          <w:t>ЭКСПЕРТ КРАСИЛЬНИКОВ: ГОВОРИТЬ О ДЕФИЦИТЕ КАРТОФЕЛЯ В РОССИИ НЕПРАВИЛЬНО</w:t>
        </w:r>
      </w:hyperlink>
    </w:p>
    <w:p w:rsidR="00612E47" w:rsidRDefault="00612E47" w:rsidP="00612E47">
      <w:r>
        <w:t>Отрасли для полного удовлетворения потребности населения РФ в картофеле необходимо удвоить его производство, но это не означает, что картофеля в стране не хватает, заявил РИА Новости исполнительный директор Союза участников рынка картофеля и овощей (Картофельного союза) Алексей Красильников.</w:t>
      </w:r>
    </w:p>
    <w:p w:rsidR="00612E47" w:rsidRDefault="00612E47" w:rsidP="00612E47">
      <w:pPr>
        <w:rPr>
          <w:i/>
        </w:rPr>
      </w:pPr>
      <w:r>
        <w:t xml:space="preserve">"Принимая во внимание ежегодное снижение производства картофеля на огородах в частном секторе на уровне около 1 миллиона тонн, перед сельхозпроизводителями и </w:t>
      </w:r>
      <w:r w:rsidRPr="00B64C88">
        <w:rPr>
          <w:b/>
        </w:rPr>
        <w:t>Минсельхозом</w:t>
      </w:r>
      <w:r>
        <w:t xml:space="preserve"> ставится амбициозная задача в ближайшие годы практически удвоить производство картофеля в товарном секторе, поэтому нужна будет дополнительная господдержка", - полагает Красильников. </w:t>
      </w:r>
      <w:r w:rsidRPr="00BA4F8C">
        <w:rPr>
          <w:i/>
        </w:rPr>
        <w:t>РИА Новости, ПРАЙМ</w:t>
      </w:r>
      <w:r>
        <w:rPr>
          <w:i/>
        </w:rPr>
        <w:t>,</w:t>
      </w:r>
      <w:r w:rsidRPr="00843574">
        <w:rPr>
          <w:i/>
        </w:rPr>
        <w:t xml:space="preserve"> </w:t>
      </w:r>
      <w:r w:rsidRPr="00BA4F8C">
        <w:rPr>
          <w:i/>
        </w:rPr>
        <w:t>Ведомости</w:t>
      </w:r>
    </w:p>
    <w:p w:rsidR="00A1133C" w:rsidRDefault="00A1133C" w:rsidP="00A1133C">
      <w:pPr>
        <w:rPr>
          <w:rFonts w:cs="Arial"/>
          <w:b/>
          <w:caps/>
          <w:color w:val="000000" w:themeColor="text1"/>
          <w:szCs w:val="18"/>
        </w:rPr>
      </w:pPr>
    </w:p>
    <w:p w:rsidR="00A1133C" w:rsidRPr="00A1133C" w:rsidRDefault="00A1133C" w:rsidP="00A1133C">
      <w:pPr>
        <w:rPr>
          <w:rFonts w:cs="Arial"/>
          <w:b/>
          <w:caps/>
          <w:color w:val="000000" w:themeColor="text1"/>
          <w:szCs w:val="18"/>
        </w:rPr>
      </w:pPr>
      <w:r w:rsidRPr="00A1133C">
        <w:rPr>
          <w:rFonts w:cs="Arial"/>
          <w:b/>
          <w:caps/>
          <w:color w:val="000000" w:themeColor="text1"/>
          <w:szCs w:val="18"/>
        </w:rPr>
        <w:t>Производителям для роста производства картофеля нужн</w:t>
      </w:r>
      <w:r>
        <w:rPr>
          <w:rFonts w:cs="Arial"/>
          <w:b/>
          <w:caps/>
          <w:color w:val="000000" w:themeColor="text1"/>
          <w:szCs w:val="18"/>
        </w:rPr>
        <w:t xml:space="preserve">а дополнительная господдержка </w:t>
      </w:r>
    </w:p>
    <w:p w:rsidR="00A1133C" w:rsidRPr="00A1133C" w:rsidRDefault="00A1133C" w:rsidP="00A1133C">
      <w:r w:rsidRPr="00A1133C">
        <w:t xml:space="preserve">Российские производители картофеля в сложных погодных условиях текущего </w:t>
      </w:r>
      <w:r>
        <w:t>года получили достойный урожай. П</w:t>
      </w:r>
      <w:r w:rsidRPr="00A1133C">
        <w:t xml:space="preserve">о словам председателя Картофельного союза Сергея </w:t>
      </w:r>
      <w:proofErr w:type="spellStart"/>
      <w:r w:rsidRPr="00A1133C">
        <w:t>Лупехина</w:t>
      </w:r>
      <w:proofErr w:type="spellEnd"/>
      <w:r w:rsidRPr="00A1133C">
        <w:t>, для решения текущих вопросов и развития на перспективу необходимо предусмотреть новые меры поддержки сектора. Так, исходя из планов увеличения производства, участники рынка считают одной из самых эффективных мер государственную денежную поддержку в разм</w:t>
      </w:r>
      <w:r>
        <w:t>ере 100 тысяч рублей на гектар.</w:t>
      </w:r>
    </w:p>
    <w:p w:rsidR="00A1133C" w:rsidRPr="00A1133C" w:rsidRDefault="00A1133C" w:rsidP="00A1133C">
      <w:pPr>
        <w:rPr>
          <w:i/>
        </w:rPr>
      </w:pPr>
      <w:r w:rsidRPr="00A1133C">
        <w:t>Кроме того, при наращивании производства картофеля усилия необходимо сконцентрировать прежде всего на территориях-лидерах, в частности, на Брянской, Тульской, Нижегородской и Астраханской областях: для таких субъектов РФ нужно сделать повышенные коэффициенты мер господдержки и вводить в эксплуатацию дополнительных мощности для хранения продукции, предлагают в организации.</w:t>
      </w:r>
      <w:r>
        <w:t xml:space="preserve"> </w:t>
      </w:r>
      <w:r w:rsidRPr="00A1133C">
        <w:rPr>
          <w:i/>
        </w:rPr>
        <w:t>РИА Новости</w:t>
      </w:r>
    </w:p>
    <w:p w:rsidR="00843574" w:rsidRPr="00B64C88" w:rsidRDefault="004B0DEE" w:rsidP="00843574">
      <w:pPr>
        <w:pStyle w:val="a9"/>
      </w:pPr>
      <w:hyperlink r:id="rId17" w:history="1">
        <w:r w:rsidR="00843574" w:rsidRPr="00B64C88">
          <w:t>ТИМИРЯЗЕВСКАЯ АКАДЕМИЯ ПРЕДСТАВИЛА ПРОГРАММУ РАЗВИТИЯ НА БЛИЖАЙШЕЕ ДЕСЯТИЛЕТИЕ</w:t>
        </w:r>
      </w:hyperlink>
    </w:p>
    <w:p w:rsidR="00612E47" w:rsidRDefault="00843574" w:rsidP="00612E47">
      <w:r>
        <w:t xml:space="preserve">Программу развития вуза на ближайшее десятилетие презентовал ректор РГАУ-МСХА имени К.А. Тимирязева, академик РАН Владимир </w:t>
      </w:r>
      <w:proofErr w:type="spellStart"/>
      <w:r>
        <w:t>Трухачев</w:t>
      </w:r>
      <w:proofErr w:type="spellEnd"/>
      <w:r>
        <w:t xml:space="preserve">. </w:t>
      </w:r>
      <w:r w:rsidR="00612E47">
        <w:t xml:space="preserve"> Она включает четыре стратегических направления. Первое из них, названное "</w:t>
      </w:r>
      <w:proofErr w:type="spellStart"/>
      <w:r w:rsidR="00612E47">
        <w:t>Агронаука</w:t>
      </w:r>
      <w:proofErr w:type="spellEnd"/>
      <w:r w:rsidR="00612E47">
        <w:t xml:space="preserve">: глобальные вызовы", ориентировано на получение новых знаний и технологий в области аграрной науки, формирование уникальных междисциплинарных исследований, качественный технологический скачок АПК. </w:t>
      </w:r>
    </w:p>
    <w:p w:rsidR="00612E47" w:rsidRDefault="00612E47" w:rsidP="00612E47">
      <w:r>
        <w:t>Второе стратегическое направление "Опережающая подготовка кадров для АПК России" является логическим продолжением первого в части наращивания кадрового потенциала отрасли и, в частности, сектора исследований и разработок. Университет рассчитывает, что изменится структура трудоустройства выпускников в пользу научно-исследовательского и инновационного сектора - с 5 до 25 процентов.</w:t>
      </w:r>
    </w:p>
    <w:p w:rsidR="00612E47" w:rsidRDefault="00612E47" w:rsidP="00612E47">
      <w:r>
        <w:t xml:space="preserve">Направление "Молодые </w:t>
      </w:r>
      <w:proofErr w:type="spellStart"/>
      <w:r>
        <w:t>агролидеры</w:t>
      </w:r>
      <w:proofErr w:type="spellEnd"/>
      <w:r>
        <w:t xml:space="preserve"> России" ориентировано на выявление, поддержку и продвижение талантливых студентов. </w:t>
      </w:r>
    </w:p>
    <w:p w:rsidR="00843574" w:rsidRPr="00612E47" w:rsidRDefault="00612E47" w:rsidP="00612E47">
      <w:r>
        <w:rPr>
          <w:rFonts w:cs="Arial"/>
          <w:color w:val="000000"/>
          <w:spacing w:val="3"/>
        </w:rPr>
        <w:t xml:space="preserve">Наконец, </w:t>
      </w:r>
      <w:proofErr w:type="spellStart"/>
      <w:r>
        <w:rPr>
          <w:rFonts w:cs="Arial"/>
          <w:color w:val="000000"/>
          <w:spacing w:val="3"/>
        </w:rPr>
        <w:t>Тимирязевская</w:t>
      </w:r>
      <w:proofErr w:type="spellEnd"/>
      <w:r>
        <w:rPr>
          <w:rFonts w:cs="Arial"/>
          <w:color w:val="000000"/>
          <w:spacing w:val="3"/>
        </w:rPr>
        <w:t xml:space="preserve"> академия осознает необходимость трансформации университета в "центр притяжения" для жителей и гостей Москвы. С этой целью будет реализовываться четвертое направление программы развития вуза - "Зеленый кампус". </w:t>
      </w:r>
      <w:r w:rsidR="00843574" w:rsidRPr="00BA4F8C">
        <w:rPr>
          <w:i/>
        </w:rPr>
        <w:t>Российск</w:t>
      </w:r>
      <w:r w:rsidR="00843574">
        <w:rPr>
          <w:i/>
        </w:rPr>
        <w:t xml:space="preserve">ая газета </w:t>
      </w:r>
    </w:p>
    <w:p w:rsidR="00B64C88" w:rsidRPr="00B64C88" w:rsidRDefault="004B0DEE" w:rsidP="00BD784F">
      <w:pPr>
        <w:pStyle w:val="a9"/>
      </w:pPr>
      <w:hyperlink r:id="rId18" w:history="1">
        <w:r w:rsidR="00B64C88" w:rsidRPr="00B64C88">
          <w:t>КРАСНАЯ ИКРА В РОССИИ ПРОДОЛЖАЕТ ДОРОЖАТЬ</w:t>
        </w:r>
      </w:hyperlink>
    </w:p>
    <w:p w:rsidR="00B64C88" w:rsidRDefault="00B64C88" w:rsidP="00BD784F">
      <w:r>
        <w:t>Красная икра по мере приближения Нового года продолжает дорожать. Как сообщил "Интерфаксу" руководитель информационного агентства по рыболовству Александр Савельев, икра горбуши (самый дешевый вид икры) на второй неделе декабря предлагается в опте по 3,7 тысячи рублей за кг.</w:t>
      </w:r>
    </w:p>
    <w:p w:rsidR="00B64C88" w:rsidRPr="00843574" w:rsidRDefault="00B64C88" w:rsidP="00BD784F">
      <w:r>
        <w:t xml:space="preserve">Розничная цена пока держится на уровне 6 тыс. рублей за кг. "Более деликатесные виды лососевой икры - нерки, </w:t>
      </w:r>
      <w:proofErr w:type="spellStart"/>
      <w:r>
        <w:t>кижуча</w:t>
      </w:r>
      <w:proofErr w:type="spellEnd"/>
      <w:r>
        <w:t>, кеты - стоят уже более 9 тыс. рублей за килограмм", - сказал он, не исключив дальнейший рост розничных цен вслед за оптовыми.</w:t>
      </w:r>
      <w:r w:rsidR="00843574">
        <w:t xml:space="preserve"> </w:t>
      </w:r>
      <w:r w:rsidRPr="00941B3B">
        <w:rPr>
          <w:i/>
        </w:rPr>
        <w:t>Интерфакс</w:t>
      </w:r>
    </w:p>
    <w:p w:rsidR="00326E3A" w:rsidRDefault="00326E3A" w:rsidP="00BD784F">
      <w:pPr>
        <w:rPr>
          <w:rFonts w:cs="Arial"/>
          <w:b/>
          <w:caps/>
          <w:color w:val="000000" w:themeColor="text1"/>
          <w:szCs w:val="18"/>
        </w:rPr>
      </w:pPr>
    </w:p>
    <w:p w:rsidR="00326E3A" w:rsidRPr="00326E3A" w:rsidRDefault="00326E3A" w:rsidP="00BD784F">
      <w:pPr>
        <w:rPr>
          <w:rFonts w:cs="Arial"/>
          <w:b/>
          <w:caps/>
          <w:color w:val="000000" w:themeColor="text1"/>
          <w:szCs w:val="18"/>
        </w:rPr>
      </w:pPr>
      <w:r w:rsidRPr="00326E3A">
        <w:rPr>
          <w:rFonts w:cs="Arial"/>
          <w:b/>
          <w:caps/>
          <w:color w:val="000000" w:themeColor="text1"/>
          <w:szCs w:val="18"/>
        </w:rPr>
        <w:t>Молдова ищет замену российскому рынку для экспорта яблок</w:t>
      </w:r>
    </w:p>
    <w:p w:rsidR="00326E3A" w:rsidRPr="00326E3A" w:rsidRDefault="00326E3A" w:rsidP="00BD784F">
      <w:r w:rsidRPr="00326E3A">
        <w:t xml:space="preserve">Молдавских производителей яблок вскоре вытеснят с российского рынка местные поставщики. Об этом в студии </w:t>
      </w:r>
      <w:proofErr w:type="spellStart"/>
      <w:r w:rsidRPr="00326E3A">
        <w:t>Sputnik</w:t>
      </w:r>
      <w:proofErr w:type="spellEnd"/>
      <w:r w:rsidRPr="00326E3A">
        <w:t xml:space="preserve"> Молдова заявил глава Министерства сельского хозяйства и пищевой промышленности </w:t>
      </w:r>
      <w:proofErr w:type="spellStart"/>
      <w:r w:rsidRPr="00326E3A">
        <w:t>Виорел</w:t>
      </w:r>
      <w:proofErr w:type="spellEnd"/>
      <w:r w:rsidRPr="00326E3A">
        <w:t xml:space="preserve"> </w:t>
      </w:r>
      <w:proofErr w:type="spellStart"/>
      <w:r w:rsidRPr="00326E3A">
        <w:t>Герчу</w:t>
      </w:r>
      <w:proofErr w:type="spellEnd"/>
      <w:r w:rsidRPr="00326E3A">
        <w:t>.</w:t>
      </w:r>
    </w:p>
    <w:p w:rsidR="00A1133C" w:rsidRPr="00326E3A" w:rsidRDefault="00326E3A" w:rsidP="00A1133C">
      <w:r w:rsidRPr="00326E3A">
        <w:t>"Сегодня Молдова почти полностью зависит от экспорта в Россию по части яблок. В Россию экспортируется 90% произведенных яблок. Но и российские производители инвестировали в свои сады и вскоре будут способны сами обеспечивать потребности в этом продукте", - рассказывает чиновник.</w:t>
      </w:r>
      <w:r w:rsidR="00A1133C" w:rsidRPr="00A1133C">
        <w:t xml:space="preserve"> </w:t>
      </w:r>
      <w:proofErr w:type="spellStart"/>
      <w:r w:rsidR="00A1133C" w:rsidRPr="00A1133C">
        <w:rPr>
          <w:i/>
        </w:rPr>
        <w:t>Sputnik</w:t>
      </w:r>
      <w:proofErr w:type="spellEnd"/>
      <w:r w:rsidR="00A1133C" w:rsidRPr="00A1133C">
        <w:rPr>
          <w:i/>
        </w:rPr>
        <w:t xml:space="preserve"> Молдова</w:t>
      </w:r>
    </w:p>
    <w:p w:rsidR="00171E6C" w:rsidRPr="002C1EF3" w:rsidRDefault="004B0DEE" w:rsidP="00326E3A">
      <w:pPr>
        <w:pStyle w:val="a9"/>
      </w:pPr>
      <w:hyperlink r:id="rId19" w:history="1">
        <w:r w:rsidR="00171E6C" w:rsidRPr="002C1EF3">
          <w:t>НИЖЕГОРОДСКИЕ ВЛАСТИ НАПРАВИЛИ 140 МЛН РУБЛЕЙ ПО НАЦПРОЕКТУ НА РАЗВИТИЕ ФЕРМЕРСТВА</w:t>
        </w:r>
      </w:hyperlink>
    </w:p>
    <w:p w:rsidR="00171E6C" w:rsidRDefault="00171E6C" w:rsidP="00171E6C">
      <w:r>
        <w:t xml:space="preserve">Власти Нижегородской области в 2021 году поддержали 28 фермеров и девять сельхозкооперативов, в том числе через </w:t>
      </w:r>
      <w:proofErr w:type="spellStart"/>
      <w:r>
        <w:t>грантовый</w:t>
      </w:r>
      <w:proofErr w:type="spellEnd"/>
      <w:r>
        <w:t xml:space="preserve"> конкурс "Агростартап", сообщила пресс-служба правительства региона со ссылкой на министра </w:t>
      </w:r>
      <w:r w:rsidRPr="002C1EF3">
        <w:rPr>
          <w:b/>
        </w:rPr>
        <w:t>сельского хозяйства</w:t>
      </w:r>
      <w:r>
        <w:t xml:space="preserve"> и продовольственных ресурсов области Николая Денисова.</w:t>
      </w:r>
    </w:p>
    <w:p w:rsidR="00171E6C" w:rsidRPr="00843574" w:rsidRDefault="00171E6C" w:rsidP="00171E6C">
      <w:r>
        <w:t xml:space="preserve">"Почти 140 млн рублей субсидий получили нижегородские фермеры и сельхозкооперативы в 2021 году в рамках нацпроекта "Малое и среднее предпринимательство и поддержка индивидуальной предпринимательской инициативы". </w:t>
      </w:r>
      <w:r w:rsidRPr="00466840">
        <w:rPr>
          <w:i/>
        </w:rPr>
        <w:t>ТАСС</w:t>
      </w:r>
    </w:p>
    <w:p w:rsidR="00171E6C" w:rsidRPr="002C1EF3" w:rsidRDefault="004B0DEE" w:rsidP="00171E6C">
      <w:pPr>
        <w:pStyle w:val="a9"/>
      </w:pPr>
      <w:hyperlink r:id="rId20" w:history="1">
        <w:r w:rsidR="00171E6C" w:rsidRPr="002C1EF3">
          <w:t>В КРЫМУ СОБРАНО ПОЧТИ 120 ТЫС. ТОНН ПЛОДОВО-ЯГОДНОЙ ПРОДУКЦИИ</w:t>
        </w:r>
      </w:hyperlink>
    </w:p>
    <w:p w:rsidR="00171E6C" w:rsidRDefault="00171E6C" w:rsidP="00171E6C">
      <w:r>
        <w:t>Крымские аграрии завершили сбор плодово-ягодной продукции, общий объем урожая яблок, груш, персиков, абрикоса в 2021 году составил более 119 тысяч тонн. Об этом сообщили в пресс-службе правительства региона.</w:t>
      </w:r>
    </w:p>
    <w:p w:rsidR="00171E6C" w:rsidRPr="00466840" w:rsidRDefault="00171E6C" w:rsidP="00171E6C">
      <w:pPr>
        <w:rPr>
          <w:i/>
        </w:rPr>
      </w:pPr>
      <w:r>
        <w:t xml:space="preserve">В частности, в хозяйствах Крыма собрано 112 тыс. тонн яблок, 27 тонн груш, 1,7 тыс. тонн черешни, 194 тонны вишни, 1,8 тыс. тонн </w:t>
      </w:r>
      <w:proofErr w:type="spellStart"/>
      <w:r>
        <w:t>перскиков</w:t>
      </w:r>
      <w:proofErr w:type="spellEnd"/>
      <w:r>
        <w:t xml:space="preserve">, почти 78 тонн абрикосов, сливы получено 2,3 тыс. тонны. </w:t>
      </w:r>
      <w:r w:rsidRPr="00466840">
        <w:rPr>
          <w:i/>
        </w:rPr>
        <w:t xml:space="preserve">ИА </w:t>
      </w:r>
      <w:proofErr w:type="spellStart"/>
      <w:r w:rsidRPr="00466840">
        <w:rPr>
          <w:i/>
        </w:rPr>
        <w:t>Regnum</w:t>
      </w:r>
      <w:proofErr w:type="spellEnd"/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F56078" w:rsidRPr="00B64C88" w:rsidRDefault="004B0DEE" w:rsidP="00F56078">
      <w:pPr>
        <w:pStyle w:val="a9"/>
      </w:pPr>
      <w:hyperlink r:id="rId21" w:history="1">
        <w:r w:rsidR="00F56078" w:rsidRPr="00B64C88">
          <w:t>МИШУСТИН ПОТРЕБОВАЛ СОХРАНИТЬ ДОСТУПНОСТЬ ИПОТЕКИ ДЛЯ РОССИЯН</w:t>
        </w:r>
      </w:hyperlink>
    </w:p>
    <w:p w:rsidR="00F56078" w:rsidRDefault="00F56078" w:rsidP="00F56078">
      <w:r>
        <w:t xml:space="preserve">Председатель российского правительства </w:t>
      </w:r>
      <w:r w:rsidRPr="00D552AA">
        <w:t xml:space="preserve">Михаил </w:t>
      </w:r>
      <w:proofErr w:type="spellStart"/>
      <w:r w:rsidRPr="00D552AA">
        <w:t>Мишустин</w:t>
      </w:r>
      <w:proofErr w:type="spellEnd"/>
      <w:r>
        <w:t xml:space="preserve"> на совещании по социально-экономическим вопросам заявил о необходимости сохранить ипотечные кредиты доступными для граждан.</w:t>
      </w:r>
      <w:r w:rsidR="00C0080E">
        <w:t xml:space="preserve"> </w:t>
      </w:r>
      <w:r>
        <w:t>По его словам, нужно внимательно следить за изменением условий в сфере ипотечного кредитования и вовремя реагировать на изменение процентных ставок.</w:t>
      </w:r>
    </w:p>
    <w:p w:rsidR="00F56078" w:rsidRPr="00C0080E" w:rsidRDefault="00F56078" w:rsidP="00F56078">
      <w:r>
        <w:t>Кроме того, набранные в стране темпы жилищного строительства необходимо поддерживать и далее, сказал премьер. По его данным, за 10 месяцев 2021 года ввод жилья превысил 72 млн кв. метров. Это почти на треть больше, чем за аналогичный период 2020-го.</w:t>
      </w:r>
      <w:r w:rsidR="00C0080E">
        <w:t xml:space="preserve"> </w:t>
      </w:r>
      <w:r>
        <w:rPr>
          <w:i/>
        </w:rPr>
        <w:t xml:space="preserve">Аргументы и Факты, </w:t>
      </w:r>
      <w:r w:rsidRPr="002D20DE">
        <w:rPr>
          <w:i/>
        </w:rPr>
        <w:t>М</w:t>
      </w:r>
      <w:r>
        <w:rPr>
          <w:i/>
        </w:rPr>
        <w:t>осковский Комсомолец</w:t>
      </w:r>
    </w:p>
    <w:p w:rsidR="00F56078" w:rsidRPr="00B64C88" w:rsidRDefault="004B0DEE" w:rsidP="00F56078">
      <w:pPr>
        <w:pStyle w:val="a9"/>
      </w:pPr>
      <w:hyperlink r:id="rId22" w:history="1">
        <w:r w:rsidR="00F56078" w:rsidRPr="00B64C88">
          <w:t>АБРАМЧЕНКО ПРЕДЛОЖИЛА РАЗДЕЛИТЬ СИБИРЬ НА ПРОМЫШЛЕННЫЕ КЛАСТЕРЫ - РБК</w:t>
        </w:r>
      </w:hyperlink>
    </w:p>
    <w:p w:rsidR="00F56078" w:rsidRDefault="00F56078" w:rsidP="00F56078">
      <w:r>
        <w:t xml:space="preserve">Вице-премьер </w:t>
      </w:r>
      <w:r w:rsidRPr="00D552AA">
        <w:t xml:space="preserve">Виктория </w:t>
      </w:r>
      <w:proofErr w:type="spellStart"/>
      <w:r w:rsidRPr="00D552AA">
        <w:t>Абрамченко</w:t>
      </w:r>
      <w:proofErr w:type="spellEnd"/>
      <w:r>
        <w:t xml:space="preserve">, которая курирует Сибирский федеральный округ, предложила разделить его на отраслевые кластеры: </w:t>
      </w:r>
      <w:r w:rsidRPr="00D552AA">
        <w:t>сельское хозяйство</w:t>
      </w:r>
      <w:r>
        <w:t xml:space="preserve">, лес и строительные материалы, нефть и газ, уголь, </w:t>
      </w:r>
      <w:proofErr w:type="spellStart"/>
      <w:r>
        <w:t>углехимия</w:t>
      </w:r>
      <w:proofErr w:type="spellEnd"/>
      <w:r>
        <w:t>, золото и драгоценные металлы, переработка алюминия, медь и электроника.</w:t>
      </w:r>
    </w:p>
    <w:p w:rsidR="00F56078" w:rsidRPr="00F56078" w:rsidRDefault="00F56078" w:rsidP="00F56078">
      <w:r>
        <w:t xml:space="preserve">Об этом говорится в протоколе по итогам совещания о подготовке стратегической сессии по вопросам ускоренного социального-экономического развития Сибирского федерального округа. У РБК есть копия документа, чью подлинность подтвердила представитель вице-премьера Марта </w:t>
      </w:r>
      <w:proofErr w:type="spellStart"/>
      <w:r>
        <w:t>Галичева</w:t>
      </w:r>
      <w:proofErr w:type="spellEnd"/>
      <w:r>
        <w:t xml:space="preserve">. </w:t>
      </w:r>
      <w:r>
        <w:rPr>
          <w:i/>
        </w:rPr>
        <w:t xml:space="preserve">РБК  </w:t>
      </w:r>
    </w:p>
    <w:p w:rsidR="00171E6C" w:rsidRPr="002C1EF3" w:rsidRDefault="004B0DEE" w:rsidP="00171E6C">
      <w:pPr>
        <w:pStyle w:val="a9"/>
      </w:pPr>
      <w:hyperlink r:id="rId23" w:history="1">
        <w:r w:rsidR="00171E6C" w:rsidRPr="002C1EF3">
          <w:t>ГРЕФ СЧИТАЕТ, ЧТО КЛЮЧЕВАЯ СТАВКА В РФ НЕДОСТАТОЧНО ВЫСОКАЯ ДЛЯ НАЧАЛА БОРЬБЫ С ИНФЛЯЦИЕЙ</w:t>
        </w:r>
      </w:hyperlink>
    </w:p>
    <w:p w:rsidR="00171E6C" w:rsidRDefault="00171E6C" w:rsidP="00171E6C">
      <w:r>
        <w:t>Ключевая ставка Центробанка России недостаточно высокая на данном этапе, поэтому необходимость борьбы с инфляцией пока отсутствует. Не исключено, что ЦБ РФ продолжит повышать ставку, заявил в понедельник глава Сбербанка Герман Греф в рамках Всемирной выставки "Экспо-2020".</w:t>
      </w:r>
    </w:p>
    <w:p w:rsidR="00C8396B" w:rsidRDefault="00171E6C" w:rsidP="00961CCD">
      <w:r>
        <w:t>По словам главы Сбербанка, размер дальнейшего роста ставки сегодня предсказать невозможно.</w:t>
      </w:r>
      <w:r w:rsidR="00C0080E">
        <w:t xml:space="preserve"> "Наши оценки - может до одного </w:t>
      </w:r>
      <w:r>
        <w:t xml:space="preserve">процентного пункта. Но насколько ставка пойдет дальше вверх, вопрос пока остается открытым", - отметил он. </w:t>
      </w:r>
      <w:r w:rsidRPr="003F1C49">
        <w:rPr>
          <w:i/>
        </w:rPr>
        <w:t>ТАСС</w:t>
      </w:r>
      <w:bookmarkEnd w:id="12"/>
    </w:p>
    <w:sectPr w:rsidR="00C8396B" w:rsidSect="005F3758">
      <w:headerReference w:type="default" r:id="rId24"/>
      <w:footerReference w:type="default" r:id="rId25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EE" w:rsidRDefault="004B0DEE">
      <w:r>
        <w:separator/>
      </w:r>
    </w:p>
  </w:endnote>
  <w:endnote w:type="continuationSeparator" w:id="0">
    <w:p w:rsidR="004B0DEE" w:rsidRDefault="004B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B64C8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B64C88">
            <w:rPr>
              <w:rFonts w:cs="Arial"/>
              <w:color w:val="90989E"/>
              <w:sz w:val="16"/>
              <w:szCs w:val="16"/>
            </w:rPr>
            <w:t>7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14286">
            <w:rPr>
              <w:rFonts w:cs="Arial"/>
              <w:color w:val="90989E"/>
              <w:sz w:val="16"/>
              <w:szCs w:val="16"/>
            </w:rPr>
            <w:t>декабря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B64C88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61CCD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B64C8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B64C88">
            <w:rPr>
              <w:rFonts w:cs="Arial"/>
              <w:color w:val="90989E"/>
              <w:sz w:val="16"/>
              <w:szCs w:val="16"/>
            </w:rPr>
            <w:t>7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14286">
            <w:rPr>
              <w:rFonts w:cs="Arial"/>
              <w:color w:val="90989E"/>
              <w:sz w:val="16"/>
              <w:szCs w:val="16"/>
            </w:rPr>
            <w:t>декабр</w:t>
          </w:r>
          <w:r w:rsidR="00C75EE3">
            <w:rPr>
              <w:rFonts w:cs="Arial"/>
              <w:color w:val="90989E"/>
              <w:sz w:val="16"/>
              <w:szCs w:val="16"/>
            </w:rPr>
            <w:t>я</w:t>
          </w:r>
          <w:r w:rsidR="004D37A6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B64C88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61CCD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EE" w:rsidRDefault="004B0DEE">
      <w:r>
        <w:separator/>
      </w:r>
    </w:p>
  </w:footnote>
  <w:footnote w:type="continuationSeparator" w:id="0">
    <w:p w:rsidR="004B0DEE" w:rsidRDefault="004B0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6F45273" wp14:editId="460BE9E2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4C88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38A7C2D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4C88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48061AE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88"/>
    <w:rsid w:val="0003491F"/>
    <w:rsid w:val="00043E7C"/>
    <w:rsid w:val="00066C93"/>
    <w:rsid w:val="00083C55"/>
    <w:rsid w:val="000C38B2"/>
    <w:rsid w:val="00171E6C"/>
    <w:rsid w:val="00195925"/>
    <w:rsid w:val="001A4C53"/>
    <w:rsid w:val="00223D80"/>
    <w:rsid w:val="00270257"/>
    <w:rsid w:val="002E5101"/>
    <w:rsid w:val="002E5D85"/>
    <w:rsid w:val="003058E2"/>
    <w:rsid w:val="00326E3A"/>
    <w:rsid w:val="003C2528"/>
    <w:rsid w:val="003C3C67"/>
    <w:rsid w:val="00414286"/>
    <w:rsid w:val="004304C8"/>
    <w:rsid w:val="004B0DEE"/>
    <w:rsid w:val="004D37A6"/>
    <w:rsid w:val="005233A0"/>
    <w:rsid w:val="005240C2"/>
    <w:rsid w:val="00572EA4"/>
    <w:rsid w:val="005871DF"/>
    <w:rsid w:val="005F3758"/>
    <w:rsid w:val="00604F1E"/>
    <w:rsid w:val="00612E47"/>
    <w:rsid w:val="006E64AC"/>
    <w:rsid w:val="0074571A"/>
    <w:rsid w:val="00750476"/>
    <w:rsid w:val="007910D0"/>
    <w:rsid w:val="007F0AB1"/>
    <w:rsid w:val="00843574"/>
    <w:rsid w:val="00880679"/>
    <w:rsid w:val="008C7946"/>
    <w:rsid w:val="008D452B"/>
    <w:rsid w:val="00961CCD"/>
    <w:rsid w:val="0096386F"/>
    <w:rsid w:val="00985DA8"/>
    <w:rsid w:val="009B4B1F"/>
    <w:rsid w:val="009F5BD0"/>
    <w:rsid w:val="00A1133C"/>
    <w:rsid w:val="00A12D82"/>
    <w:rsid w:val="00A91474"/>
    <w:rsid w:val="00AF1BE3"/>
    <w:rsid w:val="00B64C88"/>
    <w:rsid w:val="00B922A1"/>
    <w:rsid w:val="00BC4068"/>
    <w:rsid w:val="00BD784F"/>
    <w:rsid w:val="00BF48EC"/>
    <w:rsid w:val="00C0080E"/>
    <w:rsid w:val="00C14B74"/>
    <w:rsid w:val="00C14EA4"/>
    <w:rsid w:val="00C75EE3"/>
    <w:rsid w:val="00C8396B"/>
    <w:rsid w:val="00C87324"/>
    <w:rsid w:val="00C90FBF"/>
    <w:rsid w:val="00C9507B"/>
    <w:rsid w:val="00CD2DDE"/>
    <w:rsid w:val="00CD5A45"/>
    <w:rsid w:val="00D52CCC"/>
    <w:rsid w:val="00DC5483"/>
    <w:rsid w:val="00E12208"/>
    <w:rsid w:val="00E4368A"/>
    <w:rsid w:val="00EA7B65"/>
    <w:rsid w:val="00F41D14"/>
    <w:rsid w:val="00F41E23"/>
    <w:rsid w:val="00F56078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2147B-B245-4C03-8537-A352F90E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61CCD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C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5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63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9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2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6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4118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163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8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41134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19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6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9316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4663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6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16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9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11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8900">
                      <w:marLeft w:val="300"/>
                      <w:marRight w:val="30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480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08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2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6972">
                      <w:marLeft w:val="300"/>
                      <w:marRight w:val="30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717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5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6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058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1835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5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2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44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18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7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4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667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70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45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260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582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69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786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270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007129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2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13124469" TargetMode="External"/><Relationship Id="rId13" Type="http://schemas.openxmlformats.org/officeDocument/2006/relationships/hyperlink" Target="https://www.interfax.ru/business/806812" TargetMode="External"/><Relationship Id="rId18" Type="http://schemas.openxmlformats.org/officeDocument/2006/relationships/hyperlink" Target="https://www.interfax.ru/business/8069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if.ru/money/economy/mishustin_potreboval_sohranit_dostupnost_ipoteki_dlya_rossiyan" TargetMode="External"/><Relationship Id="rId7" Type="http://schemas.openxmlformats.org/officeDocument/2006/relationships/hyperlink" Target="https://rg.ru/2021/12/06/gosudarstvo-uvelichit-podderzhku-agrarnogo-obrazovaniia.html" TargetMode="External"/><Relationship Id="rId12" Type="http://schemas.openxmlformats.org/officeDocument/2006/relationships/hyperlink" Target="https://tass.ru/ekonomika/13125311" TargetMode="External"/><Relationship Id="rId17" Type="http://schemas.openxmlformats.org/officeDocument/2006/relationships/hyperlink" Target="https://rg.ru/2021/12/06/timiriazevskaia-akademiia-predstavila-programmu-razvitiia-na-blizhajshee-desiatiletie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ia.ru/20211206/kartofel-1762425184.html" TargetMode="External"/><Relationship Id="rId20" Type="http://schemas.openxmlformats.org/officeDocument/2006/relationships/hyperlink" Target="https://regnum.ru/news/344266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g.ru/2021/12/06/eksport-rossijskogo-piva-vyros-na-19-procentov.htm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rg.ru/2021/12/06/senator-nazval-sposob-sdelat-agrarnye-professii-privlekatelnymi.html" TargetMode="External"/><Relationship Id="rId23" Type="http://schemas.openxmlformats.org/officeDocument/2006/relationships/hyperlink" Target="https://tass.ru/ekonomika/13120661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tass.ru/ekonomika/1311954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pnp.ru/economics/deficita-kartofelya-v-2022-godu-udastsya-izbezhat-schitaet-mitin.html" TargetMode="External"/><Relationship Id="rId22" Type="http://schemas.openxmlformats.org/officeDocument/2006/relationships/hyperlink" Target="https://www.rbc.ru/business/06/12/2021/61aa56cc9a7947edad28a963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58</TotalTime>
  <Pages>5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9</cp:revision>
  <cp:lastPrinted>2021-12-07T06:25:00Z</cp:lastPrinted>
  <dcterms:created xsi:type="dcterms:W3CDTF">2021-12-07T05:11:00Z</dcterms:created>
  <dcterms:modified xsi:type="dcterms:W3CDTF">2021-12-07T06:26:00Z</dcterms:modified>
</cp:coreProperties>
</file>