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53602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36023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B51C69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70648" w:rsidRPr="002F3F35" w:rsidRDefault="00E70648" w:rsidP="00B00185">
            <w:pPr>
              <w:pStyle w:val="a9"/>
            </w:pPr>
            <w:r>
              <w:t>8 ФЕВРАЛЯ</w:t>
            </w:r>
          </w:p>
          <w:p w:rsidR="00B00185" w:rsidRDefault="00B51C69" w:rsidP="00B51C69">
            <w:r w:rsidRPr="002F3F35">
              <w:t>МОСКВА. 09:00. Начало работы</w:t>
            </w:r>
            <w:r w:rsidR="00B00185">
              <w:t xml:space="preserve"> площадки "Точка кипения </w:t>
            </w:r>
            <w:proofErr w:type="spellStart"/>
            <w:r w:rsidR="00B00185">
              <w:t>Тимирязевка</w:t>
            </w:r>
            <w:proofErr w:type="spellEnd"/>
            <w:r w:rsidR="00B00185">
              <w:t>".</w:t>
            </w:r>
          </w:p>
          <w:p w:rsidR="00D36466" w:rsidRPr="004408A1" w:rsidRDefault="00161A2B" w:rsidP="00D36466">
            <w:r>
              <w:t xml:space="preserve">Основные направления работы </w:t>
            </w:r>
            <w:r w:rsidR="00B51C69" w:rsidRPr="002F3F35">
              <w:t xml:space="preserve">- инновационное предпринимательство, передовые </w:t>
            </w:r>
            <w:proofErr w:type="spellStart"/>
            <w:r w:rsidR="00B51C69" w:rsidRPr="002F3F35">
              <w:t>агробиотехнологии</w:t>
            </w:r>
            <w:proofErr w:type="spellEnd"/>
            <w:r w:rsidR="00B51C69" w:rsidRPr="002F3F35">
              <w:t>, внедрение в образовательную деятельность с</w:t>
            </w:r>
            <w:r>
              <w:t xml:space="preserve">овременных цифровых технологий </w:t>
            </w:r>
            <w:r w:rsidR="00B51C69" w:rsidRPr="002F3F35">
              <w:t xml:space="preserve">и др. </w:t>
            </w:r>
          </w:p>
          <w:p w:rsidR="00B00185" w:rsidRDefault="00B00185" w:rsidP="00B51C69">
            <w:bookmarkStart w:id="5" w:name="SEC_2"/>
            <w:bookmarkEnd w:id="4"/>
          </w:p>
          <w:p w:rsidR="00E70648" w:rsidRDefault="00E70648" w:rsidP="00E70648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E70648" w:rsidRPr="00502754" w:rsidRDefault="00E70648" w:rsidP="00B51C69"/>
          <w:p w:rsidR="00B51C69" w:rsidRDefault="00B51C69" w:rsidP="00B51C69">
            <w:r w:rsidRPr="00502754">
              <w:t>8 февраля</w:t>
            </w:r>
            <w:r w:rsidR="00B00185">
              <w:t xml:space="preserve"> - </w:t>
            </w:r>
            <w:r w:rsidRPr="00502754">
              <w:t>День российской науки</w:t>
            </w:r>
            <w:r w:rsidR="00B00185">
              <w:t>;</w:t>
            </w:r>
          </w:p>
          <w:p w:rsidR="00B00185" w:rsidRPr="00502754" w:rsidRDefault="00B00185" w:rsidP="00B51C69"/>
          <w:p w:rsidR="00C8396B" w:rsidRPr="00FB2AB5" w:rsidRDefault="00B00185" w:rsidP="00FB2AB5">
            <w:pPr>
              <w:rPr>
                <w:i/>
              </w:rPr>
            </w:pPr>
            <w:r w:rsidRPr="00502754">
              <w:t>8 февраля</w:t>
            </w:r>
            <w:r>
              <w:t xml:space="preserve"> - </w:t>
            </w:r>
            <w:r w:rsidR="00B51C69" w:rsidRPr="00502754">
              <w:t>День военного топографа в России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51C69" w:rsidRDefault="00592EB4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62286A" w:rsidRPr="004408A1" w:rsidRDefault="0062286A" w:rsidP="0062286A">
            <w:pPr>
              <w:pStyle w:val="a9"/>
            </w:pPr>
            <w:r w:rsidRPr="004408A1">
              <w:t>ОБЪЕМ РЕАЛИЗАЦИИ МОЛОКА В СЕЛЬХОЗОРГАНИЗАЦИЯХ ВЫРОС НА 3%</w:t>
            </w:r>
          </w:p>
          <w:p w:rsidR="0062286A" w:rsidRDefault="0062286A" w:rsidP="0062286A">
            <w:r>
              <w:t xml:space="preserve">По оперативным данным </w:t>
            </w:r>
            <w:r w:rsidRPr="004408A1">
              <w:rPr>
                <w:b/>
              </w:rPr>
              <w:t>Минсельхоза России</w:t>
            </w:r>
            <w:r>
              <w:t>, по состоянию на 31 января суточный объем реализации молока сельскохозяйственными организациями составил 50,57 тыс. тонн, что на 3% (1,46 тыс. тонн) больше показателя за аналогичный период прошлого года. Об этом сообщила пресс-служба министерства.</w:t>
            </w:r>
          </w:p>
          <w:p w:rsidR="0062286A" w:rsidRPr="0062286A" w:rsidRDefault="0062286A" w:rsidP="0062286A">
            <w:r>
              <w:t>Максимальные объемы реализации достигнуты в Республике Татарстан, Удмуртской Республике, Краснодарском крае, Воронежской, Кировской, Свердловской, Белгородской, Новосибирской, Ленинградской, Московской областях</w:t>
            </w:r>
            <w:r w:rsidRPr="0062286A">
              <w:rPr>
                <w:i/>
              </w:rPr>
              <w:t>. Интерфакс,</w:t>
            </w:r>
            <w:r>
              <w:t xml:space="preserve"> </w:t>
            </w:r>
            <w:r w:rsidRPr="006D392B">
              <w:rPr>
                <w:i/>
              </w:rPr>
              <w:t>MilkNews.ru</w:t>
            </w:r>
          </w:p>
          <w:p w:rsidR="00B51C69" w:rsidRPr="00B51C69" w:rsidRDefault="00B51C69" w:rsidP="00B51C69">
            <w:pPr>
              <w:pStyle w:val="a9"/>
            </w:pPr>
            <w:r w:rsidRPr="00B51C69">
              <w:t>В стране ожидают увеличения урожая овощей на 10%</w:t>
            </w:r>
          </w:p>
          <w:p w:rsidR="00B51C69" w:rsidRDefault="00B51C69" w:rsidP="00B51C69">
            <w:r>
              <w:t xml:space="preserve">В этом году </w:t>
            </w:r>
            <w:r w:rsidRPr="00B51C69">
              <w:rPr>
                <w:b/>
              </w:rPr>
              <w:t>Минсельхоз</w:t>
            </w:r>
            <w:r>
              <w:t xml:space="preserve"> намерен расширить посевные площади под овощи и бахчевые, которые выращивают в открытом грунте. Это следует из презентации разрабатываемого министерством федерального проекта по развитию овощеводства в России, с которым ознакомились "Известия".</w:t>
            </w:r>
          </w:p>
          <w:p w:rsidR="00B00185" w:rsidRPr="00B00185" w:rsidRDefault="00B51C69" w:rsidP="00B00185">
            <w:r>
              <w:t>Согласно прогнозам, посевные под картофель вырастут почти на 7%, до 298,7 тыс. га. Площади под остальные овощи "</w:t>
            </w:r>
            <w:proofErr w:type="spellStart"/>
            <w:r>
              <w:t>борщевого</w:t>
            </w:r>
            <w:proofErr w:type="spellEnd"/>
            <w:r>
              <w:t xml:space="preserve"> набора" (свекла, морковь, лук, капуста), а также помидоры, огурцы, кабачки, тыкву и прочие, как ожидают в </w:t>
            </w:r>
            <w:r w:rsidRPr="00B51C69">
              <w:rPr>
                <w:b/>
              </w:rPr>
              <w:t>Минсельхозе</w:t>
            </w:r>
            <w:r>
              <w:t xml:space="preserve">, увеличатся почти на 8%, до 196,6 тыс. га. Речь идет о крестьянско-фермерских хозяйствах и сельскохозяйственных производителях, личные </w:t>
            </w:r>
            <w:r w:rsidRPr="00B00185">
              <w:t xml:space="preserve">подсобные хозяйства граждан в этой статистике не учитывают. </w:t>
            </w:r>
          </w:p>
          <w:p w:rsidR="00B00185" w:rsidRPr="00B00185" w:rsidRDefault="00B00185" w:rsidP="00B00185">
            <w:r w:rsidRPr="00B00185">
              <w:rPr>
                <w:b/>
              </w:rPr>
              <w:t>В Минсельхозе</w:t>
            </w:r>
            <w:r w:rsidRPr="00B00185">
              <w:t xml:space="preserve"> «Известиям» подтвердили актуальность представленных выше оценок.</w:t>
            </w:r>
          </w:p>
          <w:p w:rsidR="00C8396B" w:rsidRPr="001F25B9" w:rsidRDefault="00B00185" w:rsidP="00B51C69">
            <w:r w:rsidRPr="00B00185">
              <w:t xml:space="preserve">— Наращивание производства овощей является одной из ключевых задач обеспечения продовольственной безопасности страны. В текущем году прогнозируется расширение посевных площадей под основными овощными культурами и картофелем в организованном секторе, что будет способствовать наращиванию их производства и обеспечению стабильной ценовой ситуации на этом рынке, — сказали в министерстве. </w:t>
            </w:r>
            <w:r>
              <w:rPr>
                <w:i/>
              </w:rPr>
              <w:t>Известия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F25B9" w:rsidRDefault="001F25B9" w:rsidP="001F25B9">
      <w:pPr>
        <w:pStyle w:val="a8"/>
        <w:pBdr>
          <w:bottom w:val="single" w:sz="36" w:space="0" w:color="FECA37"/>
        </w:pBdr>
        <w:outlineLvl w:val="0"/>
      </w:pPr>
      <w:bookmarkStart w:id="9" w:name="SEC_3"/>
      <w:bookmarkStart w:id="10" w:name="SEC_5"/>
      <w:r>
        <w:lastRenderedPageBreak/>
        <w:t>Государственное регулирование отрасли АПК</w:t>
      </w:r>
    </w:p>
    <w:p w:rsidR="001F25B9" w:rsidRPr="00B51C69" w:rsidRDefault="001F25B9" w:rsidP="001F25B9">
      <w:pPr>
        <w:pStyle w:val="a9"/>
      </w:pPr>
      <w:r w:rsidRPr="00B51C69">
        <w:t>СЕРГЕЙ ЛИСОВСКИЙ: НАЦЕНКУ НАДО ОГРАНИЧИВАТЬ НА ВСЕ ПРОДОВОЛЬСТВИЕ</w:t>
      </w:r>
    </w:p>
    <w:p w:rsidR="001F25B9" w:rsidRDefault="001F25B9" w:rsidP="001F25B9">
      <w:proofErr w:type="spellStart"/>
      <w:r>
        <w:t>Минпромторг</w:t>
      </w:r>
      <w:proofErr w:type="spellEnd"/>
      <w:r>
        <w:t xml:space="preserve">, </w:t>
      </w:r>
      <w:r w:rsidRPr="00B51C69">
        <w:rPr>
          <w:b/>
        </w:rPr>
        <w:t>Минсельхоз</w:t>
      </w:r>
      <w:r>
        <w:t xml:space="preserve"> и ФАС намерены ограничить наценку торговых сетей на социально значимые товары 5 процентами. При этом перечень таких продуктов власти только еще собираются составить. Между тем депутат Госдумы Сергей ЛИСОВСКИЙ считает, что наценку нужно ограничивать на все продовольствие. </w:t>
      </w:r>
    </w:p>
    <w:p w:rsidR="001F25B9" w:rsidRDefault="001F25B9" w:rsidP="001F25B9">
      <w:pPr>
        <w:rPr>
          <w:i/>
        </w:rPr>
      </w:pPr>
      <w:r>
        <w:t xml:space="preserve">- Наценку надо ограничивать на все продовольствие. Смотрите, что происходит сегодня. На днях я был в Кургане, там есть хорошее предприятие среднего объема, которое производит молочку. Торговые сети ставят наценку 15-18% на его продукцию. Казалось бы, немного. Но при этом забывают рассказать, что потом с производителя берут </w:t>
      </w:r>
      <w:proofErr w:type="spellStart"/>
      <w:r>
        <w:t>ретробонус</w:t>
      </w:r>
      <w:proofErr w:type="spellEnd"/>
      <w:r>
        <w:t xml:space="preserve"> в 5%. </w:t>
      </w:r>
      <w:r w:rsidRPr="00451572">
        <w:rPr>
          <w:i/>
        </w:rPr>
        <w:t>Собеседник</w:t>
      </w:r>
      <w:bookmarkEnd w:id="9"/>
    </w:p>
    <w:p w:rsidR="001F25B9" w:rsidRPr="001F25B9" w:rsidRDefault="001F25B9" w:rsidP="001F25B9"/>
    <w:p w:rsidR="00C8396B" w:rsidRDefault="00F62502" w:rsidP="00A51A0D">
      <w:pPr>
        <w:pStyle w:val="a8"/>
        <w:outlineLvl w:val="0"/>
      </w:pPr>
      <w:r>
        <w:t>Агропромышленный комплекс</w:t>
      </w:r>
    </w:p>
    <w:p w:rsidR="00A51A0D" w:rsidRDefault="00A51A0D" w:rsidP="00A51A0D">
      <w:pPr>
        <w:pStyle w:val="a9"/>
        <w:spacing w:before="0"/>
      </w:pPr>
    </w:p>
    <w:p w:rsidR="009C38F3" w:rsidRPr="00A51A0D" w:rsidRDefault="009C38F3" w:rsidP="009C38F3">
      <w:pPr>
        <w:rPr>
          <w:rFonts w:cs="Arial"/>
          <w:b/>
          <w:caps/>
          <w:color w:val="000000" w:themeColor="text1"/>
          <w:szCs w:val="18"/>
        </w:rPr>
      </w:pPr>
      <w:r w:rsidRPr="00A51A0D">
        <w:rPr>
          <w:rFonts w:cs="Arial"/>
          <w:b/>
          <w:caps/>
          <w:color w:val="000000" w:themeColor="text1"/>
          <w:szCs w:val="18"/>
        </w:rPr>
        <w:t>Лизинговый портфель "Росагролизинга" в 2021 г. вырос на треть, достиг 110,3 млрд руб.</w:t>
      </w:r>
    </w:p>
    <w:p w:rsidR="009C38F3" w:rsidRPr="00A51A0D" w:rsidRDefault="009C38F3" w:rsidP="009C38F3">
      <w:r w:rsidRPr="00A51A0D">
        <w:t>Лизинговый портфель "</w:t>
      </w:r>
      <w:proofErr w:type="spellStart"/>
      <w:r w:rsidRPr="00A51A0D">
        <w:t>Росагролизинга</w:t>
      </w:r>
      <w:proofErr w:type="spellEnd"/>
      <w:r w:rsidRPr="00A51A0D">
        <w:t>" в 2021 году увеличился на треть и достиг 110,3 млрд рублей, сообщается в пресс-релизе компании.</w:t>
      </w:r>
    </w:p>
    <w:p w:rsidR="009C38F3" w:rsidRDefault="009C38F3" w:rsidP="009C38F3">
      <w:pPr>
        <w:rPr>
          <w:i/>
        </w:rPr>
      </w:pPr>
      <w:r w:rsidRPr="00A51A0D">
        <w:t>В 2021 году "</w:t>
      </w:r>
      <w:proofErr w:type="spellStart"/>
      <w:r w:rsidRPr="00A51A0D">
        <w:t>Росагролизинг</w:t>
      </w:r>
      <w:proofErr w:type="spellEnd"/>
      <w:r w:rsidRPr="00A51A0D">
        <w:t xml:space="preserve">" поставил аграриям более 10 тыс. единиц техники и оборудования на рекордные 45,8 млрд рублей, что на 19% больше, чем в 2020 </w:t>
      </w:r>
      <w:proofErr w:type="spellStart"/>
      <w:r w:rsidRPr="00A51A0D">
        <w:t>году.Как</w:t>
      </w:r>
      <w:proofErr w:type="spellEnd"/>
      <w:r w:rsidRPr="00A51A0D">
        <w:t xml:space="preserve"> пояснила компания, ключевыми факторами роста стал высокий спрос сельхозпроизводителей на технику и оборудование на условиях льготного лизинга, реализация </w:t>
      </w:r>
      <w:proofErr w:type="spellStart"/>
      <w:r w:rsidRPr="00A51A0D">
        <w:t>спецпрограмм</w:t>
      </w:r>
      <w:proofErr w:type="spellEnd"/>
      <w:r w:rsidRPr="00A51A0D">
        <w:t xml:space="preserve"> "Юбилейное предложение" и "Раннее бронирование", а также </w:t>
      </w:r>
      <w:proofErr w:type="spellStart"/>
      <w:r w:rsidRPr="00A51A0D">
        <w:t>цифровизация</w:t>
      </w:r>
      <w:proofErr w:type="spellEnd"/>
      <w:r w:rsidRPr="00A51A0D">
        <w:t xml:space="preserve"> бизнес-процессов, позволяющая оптимизировать сроки оформления лизинга.</w:t>
      </w:r>
      <w:r>
        <w:t xml:space="preserve"> </w:t>
      </w:r>
      <w:r w:rsidRPr="00A51A0D">
        <w:rPr>
          <w:i/>
        </w:rPr>
        <w:t>Интерфакс</w:t>
      </w:r>
    </w:p>
    <w:p w:rsidR="009C38F3" w:rsidRDefault="009C38F3" w:rsidP="00A51A0D">
      <w:pPr>
        <w:pStyle w:val="a9"/>
        <w:spacing w:before="0"/>
      </w:pPr>
    </w:p>
    <w:p w:rsidR="009A1F53" w:rsidRPr="00B51C69" w:rsidRDefault="009A1F53" w:rsidP="00A51A0D">
      <w:pPr>
        <w:pStyle w:val="a9"/>
        <w:spacing w:before="0"/>
      </w:pPr>
      <w:r w:rsidRPr="00B51C69">
        <w:t>КРЕВЕТКИ УСТРЕМИЛИСЬ В РОССИЮ</w:t>
      </w:r>
    </w:p>
    <w:p w:rsidR="009A1F53" w:rsidRDefault="009A1F53" w:rsidP="00A51A0D">
      <w:r>
        <w:t>Восстановление ресторанного рынка после ограничений в связи с COVID-19 и снижение добычи креветки в России привели к резкому росту импорта этого морепродукта. В 2021 году объем поставок увеличился почти на 70%, до 84 тыс. тонн, что сравнимо с пиковыми периодами 2012-2013 годов. Но уже в этом году, как ожидают участники рынка, начнется снижение спроса на продукт.</w:t>
      </w:r>
    </w:p>
    <w:p w:rsidR="00A51A0D" w:rsidRDefault="009A1F53" w:rsidP="00A51A0D">
      <w:pPr>
        <w:rPr>
          <w:i/>
        </w:rPr>
      </w:pPr>
      <w:r>
        <w:t xml:space="preserve">В </w:t>
      </w:r>
      <w:proofErr w:type="spellStart"/>
      <w:r w:rsidRPr="00B51C69">
        <w:rPr>
          <w:b/>
        </w:rPr>
        <w:t>Росрыболовстве</w:t>
      </w:r>
      <w:proofErr w:type="spellEnd"/>
      <w:r>
        <w:t xml:space="preserve"> уточнили, что импорт тигровых креветок в 2021 году вырос на 119%, тихоокеанских белых креветок - на 51%, северной креветки - почти на 50%, лан </w:t>
      </w:r>
      <w:proofErr w:type="spellStart"/>
      <w:r>
        <w:t>густинов</w:t>
      </w:r>
      <w:proofErr w:type="spellEnd"/>
      <w:r>
        <w:t xml:space="preserve"> - на 32% год к году. Там добавили, что спрос на креветку вырос не только в России, но и на всех мировых рынках. </w:t>
      </w:r>
      <w:r>
        <w:rPr>
          <w:i/>
        </w:rPr>
        <w:t>Коммерсантъ</w:t>
      </w:r>
    </w:p>
    <w:p w:rsidR="00101044" w:rsidRDefault="00101044" w:rsidP="00A51A0D">
      <w:pPr>
        <w:rPr>
          <w:b/>
        </w:rPr>
      </w:pPr>
    </w:p>
    <w:p w:rsidR="00A51A0D" w:rsidRPr="00A51A0D" w:rsidRDefault="00CB03DE" w:rsidP="00A51A0D">
      <w:pPr>
        <w:rPr>
          <w:b/>
          <w:i/>
        </w:rPr>
      </w:pPr>
      <w:hyperlink r:id="rId10" w:history="1">
        <w:r w:rsidR="00A51A0D" w:rsidRPr="00A51A0D">
          <w:rPr>
            <w:b/>
          </w:rPr>
          <w:t>РАСШИРЕН ПЕРЕЧЕНЬ РОССИЙСКИХ ПРЕДПРИЯТИЙ ПО ПРОИЗВОДСТВУ МОЛОЧНОЙ ПРОДУКЦИИ, ИМЕЮЩИХ ПРАВО ПОСТАВОК В САУДОВСКУЮ АРАВИЮ</w:t>
        </w:r>
      </w:hyperlink>
    </w:p>
    <w:p w:rsidR="00A51A0D" w:rsidRDefault="00A51A0D" w:rsidP="00A51A0D">
      <w:pPr>
        <w:rPr>
          <w:i/>
        </w:rPr>
      </w:pPr>
      <w:r>
        <w:t xml:space="preserve">Государственное управление по контролю за пищевыми продуктами и медикаментами Королевства Саудовская Аравия (КСА) расширило перечень российских предприятий по производству молочной продукции, имеющих право поставок в Саудовскую Аравию, сообщила пресс-служба </w:t>
      </w:r>
      <w:proofErr w:type="spellStart"/>
      <w:r w:rsidRPr="00B51C69">
        <w:rPr>
          <w:b/>
        </w:rPr>
        <w:t>Россельхознадзора</w:t>
      </w:r>
      <w:proofErr w:type="spellEnd"/>
      <w:r>
        <w:t xml:space="preserve">. На этот раз право поставок получил "Дмитровский молочный завод". В настоящее время 12 российских молочных предприятий могут поставлять эти подконтрольные товары на рынок Королевства. </w:t>
      </w:r>
      <w:r w:rsidRPr="007C0B8F">
        <w:rPr>
          <w:i/>
        </w:rPr>
        <w:t>MilkNews.ru</w:t>
      </w:r>
    </w:p>
    <w:p w:rsidR="00A51A0D" w:rsidRPr="009A1F53" w:rsidRDefault="00A51A0D" w:rsidP="00A51A0D"/>
    <w:p w:rsidR="00A51A0D" w:rsidRPr="00A51A0D" w:rsidRDefault="00CB03DE" w:rsidP="00A51A0D">
      <w:pPr>
        <w:rPr>
          <w:b/>
          <w:i/>
        </w:rPr>
      </w:pPr>
      <w:hyperlink r:id="rId11" w:history="1">
        <w:r w:rsidR="00A51A0D" w:rsidRPr="00A51A0D">
          <w:rPr>
            <w:b/>
          </w:rPr>
          <w:t>АНАЛИЗ ДАННЫХ СИСТЕМЫ "МЕРКУРИЙ" ПОМОГ РОССЕЛЬХОЗНАДЗОРУ ВЫЯВИТЬ В ЯНВАРЕ БОЛЕЕ 180 ФАНТОМНЫХ ПЛОЩАДОК</w:t>
        </w:r>
      </w:hyperlink>
    </w:p>
    <w:p w:rsidR="00A51A0D" w:rsidRDefault="00A51A0D" w:rsidP="00A51A0D">
      <w:pPr>
        <w:rPr>
          <w:i/>
        </w:rPr>
      </w:pPr>
      <w:proofErr w:type="spellStart"/>
      <w:r w:rsidRPr="004408A1">
        <w:rPr>
          <w:b/>
        </w:rPr>
        <w:t>Россельхознадзор</w:t>
      </w:r>
      <w:proofErr w:type="spellEnd"/>
      <w:r>
        <w:t xml:space="preserve"> в ходе мониторинга системы "Меркурий" по состоянию на 4 февраля с начала 2022 года обнаружил 264 предприятия-фантома. Из них 52 несуществующих производственных организации и 212 компаний, осуществляющих торговлю и хранение продукции.</w:t>
      </w:r>
      <w:r>
        <w:rPr>
          <w:i/>
        </w:rPr>
        <w:t xml:space="preserve"> </w:t>
      </w:r>
      <w:r w:rsidRPr="00FF553D">
        <w:rPr>
          <w:i/>
        </w:rPr>
        <w:t>MilkNews.ru</w:t>
      </w:r>
    </w:p>
    <w:p w:rsidR="00A51A0D" w:rsidRPr="00FF553D" w:rsidRDefault="00A51A0D" w:rsidP="00A51A0D">
      <w:pPr>
        <w:rPr>
          <w:i/>
        </w:rPr>
      </w:pPr>
    </w:p>
    <w:p w:rsidR="00F739EE" w:rsidRPr="00A51A0D" w:rsidRDefault="00CB03DE" w:rsidP="00A51A0D">
      <w:pPr>
        <w:rPr>
          <w:rFonts w:cs="Arial"/>
          <w:b/>
          <w:caps/>
          <w:color w:val="000000" w:themeColor="text1"/>
          <w:szCs w:val="18"/>
        </w:rPr>
      </w:pPr>
      <w:hyperlink r:id="rId12" w:history="1">
        <w:r w:rsidR="00F739EE" w:rsidRPr="00A51A0D">
          <w:rPr>
            <w:b/>
          </w:rPr>
          <w:t>РОССИЯ СНИЗИЛА ЭКСПОРТ ПШЕНИЦЫ ДО 32,918 МИЛЛИОНА ТОНН, РАСТИТЕЛЬНОГО МАСЛА - ДО 3,111 МИЛЛИОНА ТОНН</w:t>
        </w:r>
      </w:hyperlink>
    </w:p>
    <w:p w:rsidR="00F739EE" w:rsidRDefault="00F739EE" w:rsidP="00A51A0D">
      <w:r>
        <w:t xml:space="preserve">Россия в 2021 году снизила экспорт пшеницы и </w:t>
      </w:r>
      <w:proofErr w:type="spellStart"/>
      <w:r>
        <w:t>меслина</w:t>
      </w:r>
      <w:proofErr w:type="spellEnd"/>
      <w:r>
        <w:t xml:space="preserve"> (смесь пшеницы и ржи) на 14,4% по сравнению с 2020 годом - до 32,918 миллиона тонн, растительного масла - на 15,1%, до 3,111 миллиона тонн, следует из материалов Федеральной таможенной службы (ФТС) РФ.</w:t>
      </w:r>
    </w:p>
    <w:p w:rsidR="00F739EE" w:rsidRDefault="00F739EE" w:rsidP="00A51A0D">
      <w:r>
        <w:t>В денежном выражении поставки пшеницы за рубеж за год повысились на 8,5%, составив 8,879 миллиарда долларов. Экспорт пшеницы в декабре прошлого года составил 2,951 миллиона тонн, что ниже показателя ноября на 7,5%. В денежном выражении экспорт в декабре снизился на 1,6% по сравнению с предыдущим месяцем - до 938,1 миллиона долларов.</w:t>
      </w:r>
    </w:p>
    <w:p w:rsidR="00F739EE" w:rsidRPr="00F739EE" w:rsidRDefault="00F739EE" w:rsidP="00861536">
      <w:r>
        <w:t xml:space="preserve">Поставки за рубеж растительного масла в январе-декабре снизились на 15,1%, до 3,111 миллиона тонн. В денежном выражении они выросли на 41,8% и составили 3,987 миллиарда долларов. В декабре экспорт масла уменьшился по сравнению с ноябрем на 8% в натуральном выражении и на 7,2% - в денежном, до 292,3 тысячи тонн и до 398,6 миллиона долларов соответственно. </w:t>
      </w:r>
      <w:r w:rsidRPr="006D392B">
        <w:rPr>
          <w:i/>
        </w:rPr>
        <w:t>ПРАЙМ</w:t>
      </w:r>
      <w:r>
        <w:rPr>
          <w:i/>
        </w:rPr>
        <w:t>,</w:t>
      </w:r>
      <w:r w:rsidRPr="00F739EE">
        <w:rPr>
          <w:i/>
        </w:rPr>
        <w:t xml:space="preserve"> </w:t>
      </w:r>
      <w:r w:rsidRPr="00451572">
        <w:rPr>
          <w:i/>
        </w:rPr>
        <w:t>MilkNews.ru</w:t>
      </w:r>
    </w:p>
    <w:p w:rsidR="00F739EE" w:rsidRDefault="00F739EE" w:rsidP="00861536">
      <w:pPr>
        <w:rPr>
          <w:rFonts w:cs="Arial"/>
          <w:b/>
          <w:caps/>
          <w:color w:val="000000" w:themeColor="text1"/>
          <w:szCs w:val="18"/>
        </w:rPr>
      </w:pPr>
    </w:p>
    <w:p w:rsidR="00FA5205" w:rsidRPr="00FA5205" w:rsidRDefault="00FA5205" w:rsidP="00861536">
      <w:pPr>
        <w:rPr>
          <w:rFonts w:cs="Arial"/>
          <w:b/>
          <w:caps/>
          <w:color w:val="000000" w:themeColor="text1"/>
          <w:szCs w:val="18"/>
        </w:rPr>
      </w:pPr>
      <w:r w:rsidRPr="00FA5205">
        <w:rPr>
          <w:rFonts w:cs="Arial"/>
          <w:b/>
          <w:caps/>
          <w:color w:val="000000" w:themeColor="text1"/>
          <w:szCs w:val="18"/>
        </w:rPr>
        <w:t>Исследование выявило лидера роста цен за год в несетевой рознице</w:t>
      </w:r>
    </w:p>
    <w:p w:rsidR="00FA5205" w:rsidRPr="00FA5205" w:rsidRDefault="00FA5205" w:rsidP="00861536">
      <w:r w:rsidRPr="00FA5205">
        <w:t>Цены на продукты в несетевой рознице РФ в январе выросли в годовом выражении на 10%, больше всего за год подорожали гречка, пельмени и сосиски, сообщили РИА Новости в компании "</w:t>
      </w:r>
      <w:proofErr w:type="spellStart"/>
      <w:r w:rsidRPr="00FA5205">
        <w:t>Эвотор</w:t>
      </w:r>
      <w:proofErr w:type="spellEnd"/>
      <w:r w:rsidRPr="00FA5205">
        <w:t>".</w:t>
      </w:r>
    </w:p>
    <w:p w:rsidR="00FA5205" w:rsidRPr="00FA5205" w:rsidRDefault="00FA5205" w:rsidP="00A51A0D">
      <w:r w:rsidRPr="00FA5205">
        <w:t>Компания оценивает динамику цен на основании собственного продуктового индекса, который основан на фактических данных о покупках в несетевой торговле. При его расчете используются 523 товарных наименования из 71 ключевой для традиционной торговли продуктовой категории.</w:t>
      </w:r>
    </w:p>
    <w:p w:rsidR="00FA5205" w:rsidRPr="00FA5205" w:rsidRDefault="00FA5205" w:rsidP="00A51A0D">
      <w:r w:rsidRPr="00FA5205">
        <w:lastRenderedPageBreak/>
        <w:t>Цены на гречку за год выросли на 24%, на сосиски - на 22%, на пельмени - на 21%, на пряники и вафли - на 18%. Пюре и лапша быстрого приготовления подорожали на 17%</w:t>
      </w:r>
      <w:r w:rsidRPr="00FA5205">
        <w:rPr>
          <w:i/>
        </w:rPr>
        <w:t>. РИА Новости</w:t>
      </w:r>
    </w:p>
    <w:p w:rsidR="00615F4B" w:rsidRDefault="00615F4B" w:rsidP="00DB7031">
      <w:pPr>
        <w:rPr>
          <w:rFonts w:cs="Arial"/>
          <w:b/>
          <w:caps/>
          <w:color w:val="000000" w:themeColor="text1"/>
          <w:szCs w:val="18"/>
        </w:rPr>
      </w:pPr>
    </w:p>
    <w:p w:rsidR="00DB7031" w:rsidRPr="00DB7031" w:rsidRDefault="00DB7031" w:rsidP="00DB7031">
      <w:pPr>
        <w:rPr>
          <w:rFonts w:cs="Arial"/>
          <w:b/>
          <w:caps/>
          <w:color w:val="000000" w:themeColor="text1"/>
          <w:szCs w:val="18"/>
        </w:rPr>
      </w:pPr>
      <w:bookmarkStart w:id="11" w:name="_GoBack"/>
      <w:bookmarkEnd w:id="11"/>
      <w:r w:rsidRPr="00DB7031">
        <w:rPr>
          <w:rFonts w:cs="Arial"/>
          <w:b/>
          <w:caps/>
          <w:color w:val="000000" w:themeColor="text1"/>
          <w:szCs w:val="18"/>
        </w:rPr>
        <w:t>ПРЕМИЮ ПРЕЗИДЕНТА РФ МОЛОДЫМ УЧЕНЫМ 2021 ГОДА ПРИСУДИЛИ ЗА ИЗУЧЕНИЕ РАБОТЫ ГЕНОВ РАСТЕНИЙ</w:t>
      </w:r>
    </w:p>
    <w:p w:rsidR="00DB7031" w:rsidRPr="00DB7031" w:rsidRDefault="00DB7031" w:rsidP="00DB7031">
      <w:r w:rsidRPr="00DB7031">
        <w:t>Одна из премий президента РФ в области науки и инноваций для молодых ученых за 2021 год присуждена Александре Дубровиной,</w:t>
      </w:r>
      <w:r w:rsidR="00383551">
        <w:t xml:space="preserve"> старшему научному</w:t>
      </w:r>
      <w:r w:rsidRPr="00DB7031">
        <w:t xml:space="preserve"> сотрудник</w:t>
      </w:r>
      <w:r w:rsidR="00383551">
        <w:t>у</w:t>
      </w:r>
      <w:r w:rsidRPr="00DB7031">
        <w:t xml:space="preserve"> Федерального научного центра биоразнообразия наземной </w:t>
      </w:r>
      <w:proofErr w:type="spellStart"/>
      <w:r w:rsidRPr="00DB7031">
        <w:t>биоты</w:t>
      </w:r>
      <w:proofErr w:type="spellEnd"/>
      <w:r w:rsidRPr="00DB7031">
        <w:t xml:space="preserve"> Восточной Азии Дальневосточного отделения РАН, за развитие новых подходов для индукции РНК-интерференции и направленной регуляции работы генов растений</w:t>
      </w:r>
      <w:r w:rsidR="00F3561C">
        <w:t>.</w:t>
      </w:r>
    </w:p>
    <w:p w:rsidR="00DB7031" w:rsidRPr="00DB7031" w:rsidRDefault="00DB7031" w:rsidP="00DB7031">
      <w:r w:rsidRPr="00DB7031">
        <w:t xml:space="preserve">- Мы хотим повысить урожайность, сделать растение устойчивым к разным факторам, но вообще не трогая его ДНК, - говорит кандидат биологических наук Александра Дубровина. - Используется совсем другой принцип. Создать у растения желаемые качества, не внедряя в него инородные гены, а попробовать воздействовать на работу его "родных" генов извне, не изменяя структуру генома. </w:t>
      </w:r>
      <w:r w:rsidRPr="00DB7031">
        <w:rPr>
          <w:i/>
        </w:rPr>
        <w:t>ТАСС, Российская газета</w:t>
      </w:r>
    </w:p>
    <w:p w:rsidR="00F739EE" w:rsidRPr="004408A1" w:rsidRDefault="00CB03DE" w:rsidP="00DB7031">
      <w:pPr>
        <w:pStyle w:val="a9"/>
      </w:pPr>
      <w:hyperlink r:id="rId13" w:history="1">
        <w:r w:rsidR="00F739EE" w:rsidRPr="004408A1">
          <w:t>AGROTECH В РОССИИ И В МИРЕ: КАК ТЕХНОЛОГИИ МЕНЯЮТ ЖИВОТНОВОДСТВО</w:t>
        </w:r>
      </w:hyperlink>
    </w:p>
    <w:p w:rsidR="00F739EE" w:rsidRDefault="00F739EE" w:rsidP="00A51A0D">
      <w:r>
        <w:t xml:space="preserve">В 2020 году объем рынка сельскохозяйственных технологий в мире составил $1,1 млрд, а к 2025 году он может вырасти до $3,1 млрд. </w:t>
      </w:r>
    </w:p>
    <w:p w:rsidR="00F739EE" w:rsidRPr="00F739EE" w:rsidRDefault="00F739EE" w:rsidP="00A51A0D">
      <w:r w:rsidRPr="00F739EE">
        <w:t xml:space="preserve">Компания СТСХ из Удмуртии представила интеллектуальную систему идентификации коров. Приложение для смартфона будет распознавать животное по рисунку носа: он уникален и не меняется в течение жизни. Разработка поможет оперативно управлять производственными процессами в сельском хозяйстве и может стать первым шагом к созданию </w:t>
      </w:r>
      <w:r>
        <w:t>общей базы данных коров России.</w:t>
      </w:r>
    </w:p>
    <w:p w:rsidR="00F739EE" w:rsidRPr="00F739EE" w:rsidRDefault="00F739EE" w:rsidP="00A51A0D">
      <w:r w:rsidRPr="00F739EE">
        <w:t>Компания R-SEPT создала «робота добровольного доения», который может доить двух коров одновременно, и роботов-манипуляторов для «доильной карусели», которые заменяют до семи доярок. С помощью системы можно увеличить надои на 12–17%. Технология также позволяет контролировать парамет</w:t>
      </w:r>
      <w:r>
        <w:t>ры молока и здоровья животного.</w:t>
      </w:r>
    </w:p>
    <w:p w:rsidR="00F739EE" w:rsidRPr="00F739EE" w:rsidRDefault="00F739EE" w:rsidP="00F739EE">
      <w:pPr>
        <w:rPr>
          <w:i/>
        </w:rPr>
      </w:pPr>
      <w:r w:rsidRPr="00F739EE">
        <w:t xml:space="preserve">Уральская компания ООО «Биоэнергия» разработала технологию </w:t>
      </w:r>
      <w:proofErr w:type="spellStart"/>
      <w:r w:rsidRPr="00F739EE">
        <w:t>WiseSoil</w:t>
      </w:r>
      <w:proofErr w:type="spellEnd"/>
      <w:r w:rsidRPr="00F739EE">
        <w:t>, которая ускоряет переработку органических отходов в биогаз.</w:t>
      </w:r>
      <w:r>
        <w:t xml:space="preserve"> </w:t>
      </w:r>
      <w:r w:rsidRPr="00F739EE">
        <w:rPr>
          <w:i/>
        </w:rPr>
        <w:t>РБК</w:t>
      </w:r>
    </w:p>
    <w:p w:rsidR="00911BD0" w:rsidRPr="00B51C69" w:rsidRDefault="00CB03DE" w:rsidP="00911BD0">
      <w:pPr>
        <w:pStyle w:val="a9"/>
      </w:pPr>
      <w:hyperlink r:id="rId14" w:history="1">
        <w:r w:rsidR="00911BD0" w:rsidRPr="00B51C69">
          <w:t>АГРАРИЕВ НА КУБАНИ В ПОЛНОЙ МЕРЕ ОБЕСПЕЧИЛИ УДОБРЕНИЯМИ ДЛЯ СЕЗОННЫХ ПОЛЕВЫХ РАБОТ</w:t>
        </w:r>
      </w:hyperlink>
    </w:p>
    <w:p w:rsidR="0074345A" w:rsidRPr="008744B3" w:rsidRDefault="00911BD0" w:rsidP="0074345A">
      <w:r>
        <w:t xml:space="preserve">Аграрии в Краснодарском крае, являющемся одним из основных сельскохозяйственных регионов России, в полной мере обеспечены удобрениями для проведения сезонных полевых работ за счет реализации соглашений, подписанных ранее с ключевыми производителями, сообщили ТАСС в Министерстве сельского хозяйства и перерабатывающей промышленности Краснодарского края. </w:t>
      </w:r>
      <w:r w:rsidRPr="00451572">
        <w:rPr>
          <w:i/>
        </w:rPr>
        <w:t>ТАСС</w:t>
      </w:r>
    </w:p>
    <w:p w:rsidR="009B60BC" w:rsidRDefault="009B60BC" w:rsidP="0074345A">
      <w:pPr>
        <w:rPr>
          <w:rFonts w:cs="Arial"/>
          <w:b/>
          <w:caps/>
          <w:color w:val="000000" w:themeColor="text1"/>
          <w:szCs w:val="18"/>
        </w:rPr>
      </w:pPr>
    </w:p>
    <w:p w:rsidR="0074345A" w:rsidRPr="0074345A" w:rsidRDefault="0074345A" w:rsidP="0074345A">
      <w:pPr>
        <w:rPr>
          <w:rFonts w:cs="Arial"/>
          <w:b/>
          <w:caps/>
          <w:color w:val="000000" w:themeColor="text1"/>
          <w:szCs w:val="18"/>
        </w:rPr>
      </w:pPr>
      <w:r w:rsidRPr="0074345A">
        <w:rPr>
          <w:rFonts w:cs="Arial"/>
          <w:b/>
          <w:caps/>
          <w:color w:val="000000" w:themeColor="text1"/>
          <w:szCs w:val="18"/>
        </w:rPr>
        <w:t>В Севастополе главой департамента сельского хозяйства стала На</w:t>
      </w:r>
      <w:r>
        <w:rPr>
          <w:rFonts w:cs="Arial"/>
          <w:b/>
          <w:caps/>
          <w:color w:val="000000" w:themeColor="text1"/>
          <w:szCs w:val="18"/>
        </w:rPr>
        <w:t>талия Скорюкова</w:t>
      </w:r>
    </w:p>
    <w:p w:rsidR="0074345A" w:rsidRPr="00DB4EEE" w:rsidRDefault="0074345A" w:rsidP="0074345A">
      <w:r w:rsidRPr="0074345A">
        <w:t xml:space="preserve">Наталия </w:t>
      </w:r>
      <w:proofErr w:type="spellStart"/>
      <w:r w:rsidRPr="0074345A">
        <w:t>Скорюкова</w:t>
      </w:r>
      <w:proofErr w:type="spellEnd"/>
      <w:r w:rsidRPr="0074345A">
        <w:t xml:space="preserve"> назначена директором департамента сельского хозяйства и потр</w:t>
      </w:r>
      <w:r>
        <w:t>ебительского рынка Севастополя.</w:t>
      </w:r>
      <w:r w:rsidR="00DB4EEE">
        <w:t xml:space="preserve"> </w:t>
      </w:r>
      <w:r w:rsidRPr="0074345A">
        <w:rPr>
          <w:i/>
        </w:rPr>
        <w:t>Комсомольская правда</w:t>
      </w:r>
    </w:p>
    <w:p w:rsidR="009C04AE" w:rsidRPr="00B51C69" w:rsidRDefault="00CB03DE" w:rsidP="0074345A">
      <w:pPr>
        <w:pStyle w:val="a9"/>
      </w:pPr>
      <w:hyperlink r:id="rId15" w:history="1">
        <w:r w:rsidR="009C04AE" w:rsidRPr="00B51C69">
          <w:t>СПОР ЗА НАСЛЕДС</w:t>
        </w:r>
        <w:r w:rsidR="009C04AE">
          <w:t xml:space="preserve">ТВО КУРГАНСКОЙ СЕЛЬХОЗАКАДЕМИИ </w:t>
        </w:r>
      </w:hyperlink>
    </w:p>
    <w:p w:rsidR="009C04AE" w:rsidRPr="00DD16D0" w:rsidRDefault="009C04AE" w:rsidP="009C04AE">
      <w:r>
        <w:t>В Зауралье в рамках объединения Курганского государственного университета (КГУ) и Курганской сельскохозяйственной академии им. Мальцева (КГСХА) идет процесс дележки наследства КГСХА. Об этом рассказали источники, знакомые с происходящими в обоих вузах процессами. По их словам, сейчас основный спор возник вокруг трех ф</w:t>
      </w:r>
      <w:r w:rsidR="00DD16D0">
        <w:t xml:space="preserve">илиалов </w:t>
      </w:r>
      <w:proofErr w:type="spellStart"/>
      <w:r w:rsidR="00DD16D0">
        <w:t>сельхозакадемии</w:t>
      </w:r>
      <w:proofErr w:type="spellEnd"/>
      <w:r w:rsidR="00DD16D0">
        <w:t>, которые</w:t>
      </w:r>
      <w:r>
        <w:t xml:space="preserve"> ни КГУ, ни региональные власти не хотят брать себе как убыточные, но и ликвидировать их тоже нельзя, поскольку некоторые из колледжей являются, по сути, градообразующими предприятиями. При этом другой источник отмечает, что против ликвидации филиалов выступает </w:t>
      </w:r>
      <w:r w:rsidRPr="00B51C69">
        <w:rPr>
          <w:b/>
        </w:rPr>
        <w:t>Минсельхоз РФ</w:t>
      </w:r>
      <w:r>
        <w:t>, которому сейч</w:t>
      </w:r>
      <w:r w:rsidR="00CD41EB">
        <w:t xml:space="preserve">ас принадлежит </w:t>
      </w:r>
      <w:proofErr w:type="spellStart"/>
      <w:r w:rsidR="00CD41EB">
        <w:t>сельхозакадемия</w:t>
      </w:r>
      <w:proofErr w:type="spellEnd"/>
      <w:r w:rsidR="00CD41EB">
        <w:t xml:space="preserve">. </w:t>
      </w:r>
      <w:r w:rsidRPr="00451572">
        <w:rPr>
          <w:i/>
        </w:rPr>
        <w:t>MilkNews.ru</w:t>
      </w:r>
      <w:r w:rsidR="00DD16D0">
        <w:rPr>
          <w:i/>
        </w:rPr>
        <w:t>,</w:t>
      </w:r>
      <w:r w:rsidR="00DD16D0" w:rsidRPr="00DD16D0">
        <w:t xml:space="preserve"> </w:t>
      </w:r>
      <w:r w:rsidR="00DD16D0" w:rsidRPr="00DD16D0">
        <w:rPr>
          <w:i/>
        </w:rPr>
        <w:t>Znak.com</w:t>
      </w:r>
    </w:p>
    <w:p w:rsidR="00596F13" w:rsidRPr="004408A1" w:rsidRDefault="00CB03DE" w:rsidP="00FA5205">
      <w:pPr>
        <w:pStyle w:val="a9"/>
      </w:pPr>
      <w:hyperlink r:id="rId16" w:history="1">
        <w:r w:rsidR="00596F13" w:rsidRPr="004408A1">
          <w:t>В ЛИПЕЦКОЙ ОБЛАСТИ НА ЛЬГОТНЫЙ ЛИЗИНГ ТЕХНИКИ НАПРАВЯТ 11 МИЛЛИАРДОВ РУБЛЕЙ</w:t>
        </w:r>
      </w:hyperlink>
    </w:p>
    <w:p w:rsidR="00596F13" w:rsidRDefault="00596F13" w:rsidP="00596F13">
      <w:r>
        <w:t>На программу льготного лизинга высокотехнологичного оборудования и техники в этом году в Липецкой области направят порядка 11 миллиардов рублей, сообщил глава региона Игорь Артамонов.</w:t>
      </w:r>
    </w:p>
    <w:p w:rsidR="00596F13" w:rsidRPr="006D392B" w:rsidRDefault="00596F13" w:rsidP="00596F13">
      <w:pPr>
        <w:rPr>
          <w:i/>
        </w:rPr>
      </w:pPr>
      <w:r>
        <w:t xml:space="preserve">В пресс-службе областной администрации напомнили, что такая мера поддержки начала действовать с начала текущего года. В программе участвуют 15 уполномоченных лизинговых организаций. Максимальный размер скидки устанавливается на уровне 45 процентов от стоимости оборудования. При этом предметом договора лизинга может быть только техника, которая ранее не была в эксплуатации. Полный перечень высокотехнологичного оборудования, участвующего в программе, утвержден </w:t>
      </w:r>
      <w:r w:rsidRPr="004408A1">
        <w:rPr>
          <w:b/>
        </w:rPr>
        <w:t>Минсельхозом России</w:t>
      </w:r>
      <w:r>
        <w:t xml:space="preserve">. </w:t>
      </w:r>
      <w:r w:rsidRPr="006D392B">
        <w:rPr>
          <w:i/>
        </w:rPr>
        <w:t>РИА Новости, MilkN</w:t>
      </w:r>
      <w:r>
        <w:rPr>
          <w:i/>
        </w:rPr>
        <w:t>ews.ru, Крестьянские Ведомости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:rsidR="00FB2AB5" w:rsidRPr="00B51C69" w:rsidRDefault="00CB03DE" w:rsidP="00FB2AB5">
      <w:pPr>
        <w:pStyle w:val="a9"/>
      </w:pPr>
      <w:hyperlink r:id="rId17" w:history="1">
        <w:r w:rsidR="00FB2AB5" w:rsidRPr="00B51C69">
          <w:t>МИНЭК ПОВЫСИЛ ПРОГНОЗ ПО ИНФЛЯЦИИ НА 2022 ГОД С 4 ДО 5,9%</w:t>
        </w:r>
      </w:hyperlink>
    </w:p>
    <w:p w:rsidR="00FB2AB5" w:rsidRDefault="00FB2AB5" w:rsidP="00FB2AB5">
      <w:proofErr w:type="spellStart"/>
      <w:r>
        <w:t>Минэк</w:t>
      </w:r>
      <w:proofErr w:type="spellEnd"/>
      <w:r>
        <w:t xml:space="preserve"> повысил прогноз по темпам инфляции в 2022 г. с 4 до 5,9%, сообщил "Ведомостям" федеральный чиновник. Информацию подтвердил близкий к кабинету министров собеседник, а также источник, знакомый с оценками </w:t>
      </w:r>
      <w:proofErr w:type="spellStart"/>
      <w:r>
        <w:t>Минэка</w:t>
      </w:r>
      <w:proofErr w:type="spellEnd"/>
      <w:r>
        <w:t xml:space="preserve">. Показатель был пересмотрен в рамках выполнения поручения президента. В конце сентября прошлого года </w:t>
      </w:r>
      <w:r w:rsidRPr="00875F59">
        <w:t>Путин</w:t>
      </w:r>
      <w:r>
        <w:t xml:space="preserve"> поручал правительству до 4 февраля 2022 г. уточнить прогноз социально-экономического развития (включает показатель инфляции) и оценить изменение основных параметров федерального бюджета на период 2022-2024 гг.</w:t>
      </w:r>
    </w:p>
    <w:p w:rsidR="00FB2AB5" w:rsidRPr="00FB2AB5" w:rsidRDefault="00FB2AB5" w:rsidP="00FB2AB5">
      <w:r>
        <w:lastRenderedPageBreak/>
        <w:t xml:space="preserve">Обновленные оценки предоставлены к рассмотрению в правительство, сообщил федеральный чиновник. Другой источник, близкий к правительству, уточнил, что, хотя действительно новый прогноз сформирован, его параметры являются гибкими, во многом они зависят от конъюнктуры. </w:t>
      </w:r>
      <w:r>
        <w:rPr>
          <w:i/>
        </w:rPr>
        <w:t>Ведомости</w:t>
      </w:r>
    </w:p>
    <w:p w:rsidR="00B51C69" w:rsidRPr="00B51C69" w:rsidRDefault="00CB03DE" w:rsidP="00B51C69">
      <w:pPr>
        <w:pStyle w:val="a9"/>
      </w:pPr>
      <w:hyperlink r:id="rId18" w:history="1">
        <w:r w:rsidR="00B51C69" w:rsidRPr="00B51C69">
          <w:t>МЕЖДУНАРОДНЫЕ РЕЗЕРВЫ РОССИИ СНИЗИЛИСЬ ДО $630,207 МИЛЛИАРДА</w:t>
        </w:r>
      </w:hyperlink>
    </w:p>
    <w:p w:rsidR="00C8396B" w:rsidRDefault="00B51C69" w:rsidP="00615F4B">
      <w:r>
        <w:t>Международные резервы РФ по состоянию на 1 февраля составили 630,207 миллиарда долларов против 630,627 миллиарда на 1 января, сообщил Банк России.</w:t>
      </w:r>
      <w:r w:rsidR="00FB2AB5">
        <w:t xml:space="preserve"> </w:t>
      </w:r>
      <w:r>
        <w:t>Таким образом, за январь резервы сократились на 0,42 миллиарда долларов, или на 0,07%.</w:t>
      </w:r>
      <w:r w:rsidR="00FB2AB5">
        <w:t xml:space="preserve"> </w:t>
      </w:r>
      <w:r w:rsidRPr="003D77B2">
        <w:rPr>
          <w:i/>
        </w:rPr>
        <w:t>ПРАЙМ</w:t>
      </w:r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DE" w:rsidRDefault="00CB03DE">
      <w:r>
        <w:separator/>
      </w:r>
    </w:p>
  </w:endnote>
  <w:endnote w:type="continuationSeparator" w:id="0">
    <w:p w:rsidR="00CB03DE" w:rsidRDefault="00CB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360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36023">
            <w:rPr>
              <w:rFonts w:cs="Arial"/>
              <w:color w:val="90989E"/>
              <w:sz w:val="16"/>
              <w:szCs w:val="16"/>
            </w:rPr>
            <w:t>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53602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15F4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360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36023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53602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15F4B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DE" w:rsidRDefault="00CB03DE">
      <w:r>
        <w:separator/>
      </w:r>
    </w:p>
  </w:footnote>
  <w:footnote w:type="continuationSeparator" w:id="0">
    <w:p w:rsidR="00CB03DE" w:rsidRDefault="00CB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E26B6EB" wp14:editId="7E440DD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C69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1EC8E49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1C69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9724B4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69"/>
    <w:rsid w:val="0003491F"/>
    <w:rsid w:val="00066C93"/>
    <w:rsid w:val="00101044"/>
    <w:rsid w:val="0011423D"/>
    <w:rsid w:val="00145783"/>
    <w:rsid w:val="00161A2B"/>
    <w:rsid w:val="001701CC"/>
    <w:rsid w:val="00195925"/>
    <w:rsid w:val="001F25B9"/>
    <w:rsid w:val="00207C2D"/>
    <w:rsid w:val="00263297"/>
    <w:rsid w:val="00270257"/>
    <w:rsid w:val="002D1A97"/>
    <w:rsid w:val="002E5101"/>
    <w:rsid w:val="003058E2"/>
    <w:rsid w:val="00344504"/>
    <w:rsid w:val="00383551"/>
    <w:rsid w:val="003C3C67"/>
    <w:rsid w:val="00414286"/>
    <w:rsid w:val="004304C8"/>
    <w:rsid w:val="004D37A6"/>
    <w:rsid w:val="005233A0"/>
    <w:rsid w:val="005240C2"/>
    <w:rsid w:val="00536023"/>
    <w:rsid w:val="00592EB4"/>
    <w:rsid w:val="00596F13"/>
    <w:rsid w:val="005F3758"/>
    <w:rsid w:val="00604F1E"/>
    <w:rsid w:val="00615F4B"/>
    <w:rsid w:val="0062286A"/>
    <w:rsid w:val="00651E03"/>
    <w:rsid w:val="0066754B"/>
    <w:rsid w:val="006E64AC"/>
    <w:rsid w:val="007147EB"/>
    <w:rsid w:val="007156CE"/>
    <w:rsid w:val="00737FA8"/>
    <w:rsid w:val="0074345A"/>
    <w:rsid w:val="0074571A"/>
    <w:rsid w:val="00750476"/>
    <w:rsid w:val="0076047D"/>
    <w:rsid w:val="007910D0"/>
    <w:rsid w:val="007F0AB1"/>
    <w:rsid w:val="00842999"/>
    <w:rsid w:val="00861536"/>
    <w:rsid w:val="008744B3"/>
    <w:rsid w:val="00875B77"/>
    <w:rsid w:val="00880679"/>
    <w:rsid w:val="00911BD0"/>
    <w:rsid w:val="00966E22"/>
    <w:rsid w:val="00985DA8"/>
    <w:rsid w:val="009A1F53"/>
    <w:rsid w:val="009B4950"/>
    <w:rsid w:val="009B4B1F"/>
    <w:rsid w:val="009B60BC"/>
    <w:rsid w:val="009C04AE"/>
    <w:rsid w:val="009C38F3"/>
    <w:rsid w:val="009C6B6F"/>
    <w:rsid w:val="009F5BD0"/>
    <w:rsid w:val="00A12D82"/>
    <w:rsid w:val="00A51A0D"/>
    <w:rsid w:val="00AD3228"/>
    <w:rsid w:val="00AF4684"/>
    <w:rsid w:val="00B00185"/>
    <w:rsid w:val="00B51C69"/>
    <w:rsid w:val="00B6485B"/>
    <w:rsid w:val="00B80C28"/>
    <w:rsid w:val="00B870CE"/>
    <w:rsid w:val="00B922A1"/>
    <w:rsid w:val="00BC0941"/>
    <w:rsid w:val="00BC4068"/>
    <w:rsid w:val="00BF48EC"/>
    <w:rsid w:val="00BF7B28"/>
    <w:rsid w:val="00C14B74"/>
    <w:rsid w:val="00C14EA4"/>
    <w:rsid w:val="00C23AC3"/>
    <w:rsid w:val="00C42B7B"/>
    <w:rsid w:val="00C75EE3"/>
    <w:rsid w:val="00C8396B"/>
    <w:rsid w:val="00C87324"/>
    <w:rsid w:val="00C90FBF"/>
    <w:rsid w:val="00C9507B"/>
    <w:rsid w:val="00CA6574"/>
    <w:rsid w:val="00CB03DE"/>
    <w:rsid w:val="00CD2DDE"/>
    <w:rsid w:val="00CD41EB"/>
    <w:rsid w:val="00CD5A45"/>
    <w:rsid w:val="00D04D45"/>
    <w:rsid w:val="00D36466"/>
    <w:rsid w:val="00D5108E"/>
    <w:rsid w:val="00D52CCC"/>
    <w:rsid w:val="00DB4EEE"/>
    <w:rsid w:val="00DB7031"/>
    <w:rsid w:val="00DC12C6"/>
    <w:rsid w:val="00DD16D0"/>
    <w:rsid w:val="00E12208"/>
    <w:rsid w:val="00E4368A"/>
    <w:rsid w:val="00E70648"/>
    <w:rsid w:val="00E7085B"/>
    <w:rsid w:val="00EA7B65"/>
    <w:rsid w:val="00F3561C"/>
    <w:rsid w:val="00F37910"/>
    <w:rsid w:val="00F41E23"/>
    <w:rsid w:val="00F62502"/>
    <w:rsid w:val="00F65057"/>
    <w:rsid w:val="00F739EE"/>
    <w:rsid w:val="00FA5205"/>
    <w:rsid w:val="00FB2AB5"/>
    <w:rsid w:val="00FC274F"/>
    <w:rsid w:val="00FC4705"/>
    <w:rsid w:val="00FC7178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D6929-C317-44BD-B43F-01BBC05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15F4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15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7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1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36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00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204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9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2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521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6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0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47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2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7284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47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023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78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438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53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140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71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958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1796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9976196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608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0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rends.rbc.ru/trends/industry/6200c06a9a794763b645893b" TargetMode="External"/><Relationship Id="rId18" Type="http://schemas.openxmlformats.org/officeDocument/2006/relationships/hyperlink" Target="https://1prime.ru/macroeconomics/20220207/836008037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prime.ru/state_regulation/20220207/836005524.html" TargetMode="External"/><Relationship Id="rId17" Type="http://schemas.openxmlformats.org/officeDocument/2006/relationships/hyperlink" Target="https://www.vedomosti.ru/economics/articles/2022/02/07/908260-minek-povisil-progno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a.ru/20220207/lizing-1771410357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lknews.ru/index/rosselhoznadzor-merkurij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lknews.ru/index/kurgan-aapk.html" TargetMode="External"/><Relationship Id="rId10" Type="http://schemas.openxmlformats.org/officeDocument/2006/relationships/hyperlink" Target="https://milknews.ru/index/moloko-ehknsport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363985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8ADF-54FC-4626-8E2D-166E4AB2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50</TotalTime>
  <Pages>5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45</cp:revision>
  <cp:lastPrinted>2022-02-08T06:54:00Z</cp:lastPrinted>
  <dcterms:created xsi:type="dcterms:W3CDTF">2022-02-08T05:10:00Z</dcterms:created>
  <dcterms:modified xsi:type="dcterms:W3CDTF">2022-02-08T06:54:00Z</dcterms:modified>
</cp:coreProperties>
</file>