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5615C3" w:rsidRDefault="005615C3" w:rsidP="005615C3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13.09.2021 – 07:00 14.09.20</w:t>
      </w:r>
      <w:bookmarkEnd w:id="3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88128A" w:rsidTr="0088128A">
        <w:tc>
          <w:tcPr>
            <w:tcW w:w="7380" w:type="dxa"/>
            <w:gridSpan w:val="3"/>
            <w:shd w:val="clear" w:color="auto" w:fill="008B53"/>
          </w:tcPr>
          <w:p w:rsidR="0088128A" w:rsidRDefault="0088128A" w:rsidP="00A0314A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88128A" w:rsidRDefault="0088128A" w:rsidP="00A0314A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  <w:lang w:val="en-US"/>
              </w:rPr>
              <w:t>1</w:t>
            </w:r>
            <w:r>
              <w:rPr>
                <w:rFonts w:cs="Arial"/>
                <w:color w:val="FFFFFF"/>
                <w:sz w:val="28"/>
                <w:szCs w:val="28"/>
              </w:rPr>
              <w:t>4 сентября 2021</w:t>
            </w:r>
          </w:p>
        </w:tc>
      </w:tr>
      <w:tr w:rsidR="0088128A" w:rsidTr="0088128A">
        <w:trPr>
          <w:trHeight w:val="726"/>
        </w:trPr>
        <w:tc>
          <w:tcPr>
            <w:tcW w:w="2552" w:type="dxa"/>
            <w:shd w:val="clear" w:color="auto" w:fill="E6E7EA"/>
          </w:tcPr>
          <w:p w:rsidR="0088128A" w:rsidRDefault="0088128A" w:rsidP="00A0314A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88128A" w:rsidRPr="0088128A" w:rsidRDefault="0088128A" w:rsidP="0088128A">
            <w:pPr>
              <w:pStyle w:val="aa"/>
              <w:jc w:val="left"/>
              <w:rPr>
                <w:kern w:val="36"/>
                <w:sz w:val="28"/>
                <w:szCs w:val="28"/>
              </w:rPr>
            </w:pPr>
            <w:r w:rsidRPr="0088128A">
              <w:rPr>
                <w:kern w:val="36"/>
                <w:sz w:val="28"/>
                <w:szCs w:val="28"/>
              </w:rPr>
              <w:t>Анонсы</w:t>
            </w:r>
          </w:p>
          <w:p w:rsidR="0088128A" w:rsidRDefault="0088128A" w:rsidP="0088128A">
            <w:pPr>
              <w:pStyle w:val="a9"/>
              <w:spacing w:before="0"/>
            </w:pPr>
          </w:p>
          <w:p w:rsidR="0088128A" w:rsidRPr="0088128A" w:rsidRDefault="00B40B0F" w:rsidP="0088128A">
            <w:pPr>
              <w:pStyle w:val="a9"/>
              <w:spacing w:before="0"/>
              <w:rPr>
                <w:b w:val="0"/>
              </w:rPr>
            </w:pPr>
            <w:hyperlink r:id="rId8" w:history="1">
              <w:r w:rsidR="0088128A" w:rsidRPr="0088128A">
                <w:rPr>
                  <w:b w:val="0"/>
                </w:rPr>
                <w:t>20-21 сентября</w:t>
              </w:r>
              <w:r w:rsidR="0088128A">
                <w:rPr>
                  <w:b w:val="0"/>
                </w:rPr>
                <w:t>.</w:t>
              </w:r>
              <w:r w:rsidR="0088128A" w:rsidRPr="0088128A">
                <w:rPr>
                  <w:b w:val="0"/>
                </w:rPr>
                <w:t xml:space="preserve"> </w:t>
              </w:r>
            </w:hyperlink>
            <w:r w:rsidR="0088128A" w:rsidRPr="0088128A">
              <w:rPr>
                <w:b w:val="0"/>
              </w:rPr>
              <w:t>УФА</w:t>
            </w:r>
          </w:p>
          <w:p w:rsidR="0088128A" w:rsidRDefault="0088128A" w:rsidP="00285996">
            <w:r w:rsidRPr="0088128A">
              <w:t>Международный онлайн-симпозиум "Глобальные тренды</w:t>
            </w:r>
            <w:r>
              <w:t xml:space="preserve"> развития пчеловодства", приуроченный к 50-летию со дня проведения Всемирного конгресса пчеловодов в Москве</w:t>
            </w:r>
            <w:r w:rsidR="00054BDF">
              <w:t>,</w:t>
            </w:r>
            <w:r>
              <w:t xml:space="preserve"> состоится в Уфе 20-21 сентября. Организаторы симпозиума - </w:t>
            </w:r>
            <w:r w:rsidRPr="00584C95">
              <w:rPr>
                <w:b/>
              </w:rPr>
              <w:t>Министерство сельского хозяйства Российской Федерации</w:t>
            </w:r>
            <w:r>
              <w:t>, правительство Республики Башкортостан и Международная федерация пчеловодческих ассоциаций "</w:t>
            </w:r>
            <w:proofErr w:type="spellStart"/>
            <w:r>
              <w:t>Апимондия</w:t>
            </w:r>
            <w:proofErr w:type="spellEnd"/>
            <w:r>
              <w:t>".</w:t>
            </w:r>
            <w:bookmarkEnd w:id="4"/>
          </w:p>
        </w:tc>
        <w:tc>
          <w:tcPr>
            <w:tcW w:w="283" w:type="dxa"/>
          </w:tcPr>
          <w:p w:rsidR="0088128A" w:rsidRDefault="0088128A" w:rsidP="00A031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88128A" w:rsidRDefault="0088128A" w:rsidP="00A0314A">
            <w:pPr>
              <w:pStyle w:val="a8"/>
              <w:pageBreakBefore/>
              <w:outlineLvl w:val="0"/>
            </w:pPr>
            <w:bookmarkStart w:id="5" w:name="SEC_4"/>
            <w:r>
              <w:t>Министерство</w:t>
            </w:r>
          </w:p>
          <w:p w:rsidR="0088128A" w:rsidRPr="00521C71" w:rsidRDefault="0088128A" w:rsidP="00A0314A">
            <w:pPr>
              <w:rPr>
                <w:i/>
              </w:rPr>
            </w:pPr>
            <w:r w:rsidRPr="00521C71">
              <w:rPr>
                <w:i/>
              </w:rPr>
              <w:t xml:space="preserve"> </w:t>
            </w:r>
          </w:p>
          <w:bookmarkEnd w:id="5"/>
          <w:p w:rsidR="0088128A" w:rsidRPr="00D203D7" w:rsidRDefault="0088128A" w:rsidP="0088128A">
            <w:pPr>
              <w:pStyle w:val="a9"/>
              <w:spacing w:before="0"/>
            </w:pPr>
            <w:r>
              <w:fldChar w:fldCharType="begin"/>
            </w:r>
            <w:r>
              <w:instrText xml:space="preserve"> HYPERLINK "https://www.rtr.spb.ru/vesti_spb/news_detail.asp?id=49975" </w:instrText>
            </w:r>
            <w:r>
              <w:fldChar w:fldCharType="separate"/>
            </w:r>
            <w:r w:rsidRPr="00D203D7">
              <w:t>Министр сельского хозяйства и губернатор Ленинградской области осмотрели школу и детский сад</w:t>
            </w:r>
            <w:r>
              <w:fldChar w:fldCharType="end"/>
            </w:r>
          </w:p>
          <w:p w:rsidR="0096407B" w:rsidRDefault="0088128A" w:rsidP="0088128A">
            <w:r>
              <w:t xml:space="preserve">Министр сельского хозяйства </w:t>
            </w:r>
            <w:r w:rsidRPr="00D203D7">
              <w:rPr>
                <w:b/>
              </w:rPr>
              <w:t>Дмитрий Патрушев</w:t>
            </w:r>
            <w:r>
              <w:t xml:space="preserve"> и губернатор Ленинградской области Александр Дрозденко осмотрели школу и детский сад. Оба объекта возводят по федеральной программе комплексного развития сельских территорий. </w:t>
            </w:r>
          </w:p>
          <w:p w:rsidR="0088128A" w:rsidRPr="00CC6F45" w:rsidRDefault="0096407B" w:rsidP="0088128A">
            <w:r w:rsidRPr="0096407B">
              <w:rPr>
                <w:b/>
              </w:rPr>
              <w:t>Дмитрий Патрушев:</w:t>
            </w:r>
            <w:r>
              <w:t xml:space="preserve"> </w:t>
            </w:r>
            <w:r w:rsidR="00833748">
              <w:t>Э</w:t>
            </w:r>
            <w:r>
              <w:t xml:space="preserve">то даст возможность людям боле комфортно себя ощущать в сельских территориях. Все это приведет к тому, что у нас должен остановиться отток жителей из села. В целом хочу отметить, что с Ленинградской областью работать очень комфортно, они все взятые на себя обязательства выполняют. </w:t>
            </w:r>
            <w:r w:rsidR="0088128A" w:rsidRPr="008B132A">
              <w:rPr>
                <w:i/>
              </w:rPr>
              <w:t>ГТРК Санкт-Петербург</w:t>
            </w:r>
          </w:p>
          <w:p w:rsidR="0088128A" w:rsidRPr="00D203D7" w:rsidRDefault="00B40B0F" w:rsidP="0088128A">
            <w:pPr>
              <w:pStyle w:val="a9"/>
            </w:pPr>
            <w:hyperlink r:id="rId9" w:history="1">
              <w:r w:rsidR="0088128A" w:rsidRPr="00D203D7">
                <w:t>В России заготовлено 23 млн тонн кормовых единиц объемистых кормов</w:t>
              </w:r>
            </w:hyperlink>
          </w:p>
          <w:p w:rsidR="0088128A" w:rsidRDefault="0088128A" w:rsidP="0088128A">
            <w:r>
              <w:t xml:space="preserve">Заготовку грубых и сочных кормов на зимний период 2021-2022 годов обсудили сегодня в </w:t>
            </w:r>
            <w:r w:rsidRPr="00D203D7">
              <w:rPr>
                <w:b/>
              </w:rPr>
              <w:t>Минсельхозе России</w:t>
            </w:r>
            <w:r>
              <w:t xml:space="preserve"> на совещании под председательством первого заместителя Министра сельского хозяйства </w:t>
            </w:r>
            <w:proofErr w:type="spellStart"/>
            <w:r w:rsidRPr="00D203D7">
              <w:rPr>
                <w:b/>
              </w:rPr>
              <w:t>Джамбулата</w:t>
            </w:r>
            <w:proofErr w:type="spellEnd"/>
            <w:r w:rsidRPr="00D203D7">
              <w:rPr>
                <w:b/>
              </w:rPr>
              <w:t xml:space="preserve"> </w:t>
            </w:r>
            <w:proofErr w:type="spellStart"/>
            <w:r w:rsidRPr="00D203D7">
              <w:rPr>
                <w:b/>
              </w:rPr>
              <w:t>Хатуова</w:t>
            </w:r>
            <w:proofErr w:type="spellEnd"/>
            <w:r>
              <w:t xml:space="preserve">. </w:t>
            </w:r>
          </w:p>
          <w:p w:rsidR="0088128A" w:rsidRPr="0088128A" w:rsidRDefault="0088128A" w:rsidP="00A0314A">
            <w:pPr>
              <w:rPr>
                <w:i/>
              </w:rPr>
            </w:pPr>
            <w:r>
              <w:t xml:space="preserve">В настоящее время заготовительная кампания в стране вышла на финишную прямую. Во всех категориях хозяйств заготовлено 23 млн тонн кормовых единиц объемистых кормов. Из них грубых - 19,8 млн тонн, включая 10,9 млн тонн сена, 7,3 млн тонн сенажа и 1,6 млн тонн соломы. Зеленой массы на силос заложено 3,4 млн тонн. С опережением работы идут в Ставропольском крае, Московской, Липецкой, Иркутской Пензенской, Кемеровской, Нижегородской, Самарской, Волгоградской областях, Республике Бурятия. Кроме того, проведена инвентаризация переходящих остатков прошлых лет - в настоящее время в наличии имеется 3,3 млн тонн кормовых единиц. </w:t>
            </w:r>
            <w:r w:rsidR="001B3E0B">
              <w:rPr>
                <w:i/>
              </w:rPr>
              <w:t>Крестьянские Ведом</w:t>
            </w:r>
            <w:r w:rsidR="00971162">
              <w:rPr>
                <w:i/>
              </w:rPr>
              <w:t>ости, Фермер</w:t>
            </w:r>
          </w:p>
        </w:tc>
      </w:tr>
    </w:tbl>
    <w:p w:rsidR="00C8396B" w:rsidRDefault="00C8396B">
      <w:pPr>
        <w:jc w:val="left"/>
        <w:sectPr w:rsidR="00C8396B">
          <w:headerReference w:type="default" r:id="rId10"/>
          <w:footerReference w:type="default" r:id="rId11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:rsidR="00CC6F45" w:rsidRPr="00D203D7" w:rsidRDefault="00CC6F45" w:rsidP="0088128A">
      <w:pPr>
        <w:pStyle w:val="a9"/>
        <w:spacing w:before="0"/>
      </w:pPr>
      <w:r>
        <w:lastRenderedPageBreak/>
        <w:fldChar w:fldCharType="begin"/>
      </w:r>
      <w:r>
        <w:instrText xml:space="preserve"> HYPERLINK "https://kvedomosti.ru/news/https-mcx-gov-ru-press-service-news-tretiy-nabor-magisterskoy-programmy-mirovye-agrarnye-rynki-nachal-obuchenie-v-mgimo.html" </w:instrText>
      </w:r>
      <w:r>
        <w:fldChar w:fldCharType="separate"/>
      </w:r>
      <w:r w:rsidRPr="00D203D7">
        <w:t>Третий набор магистерской программы "Мировые аграрные рынки" начал обучение в МГИМО</w:t>
      </w:r>
      <w:r>
        <w:fldChar w:fldCharType="end"/>
      </w:r>
    </w:p>
    <w:p w:rsidR="003D7894" w:rsidRDefault="00CC6F45" w:rsidP="0088128A">
      <w:r>
        <w:t xml:space="preserve">13 сентября в Московском государственном институте международных отношений (МГИМО) состоялась торжественная церемония вручения студенческих билетов первокурсникам магистерской программы "Мировые аграрные рынки". Программа уже третий год реализуется на базе кафедры </w:t>
      </w:r>
      <w:r w:rsidRPr="00D203D7">
        <w:rPr>
          <w:b/>
        </w:rPr>
        <w:t>Минсельхоза России</w:t>
      </w:r>
      <w:r>
        <w:t xml:space="preserve"> "Международные аграрные рынки и внешнеэкономическая деятельность в агропромышленном комплексе". Студентов поздравил заместитель Министра сельского хозяйства </w:t>
      </w:r>
      <w:r w:rsidRPr="00D203D7">
        <w:rPr>
          <w:b/>
        </w:rPr>
        <w:t>Сергей Левин</w:t>
      </w:r>
      <w:r>
        <w:t>.</w:t>
      </w:r>
      <w:r w:rsidR="003D7894">
        <w:t xml:space="preserve"> </w:t>
      </w:r>
    </w:p>
    <w:p w:rsidR="00CC6F45" w:rsidRPr="003D7894" w:rsidRDefault="003D7894" w:rsidP="00CC6F45">
      <w:r w:rsidRPr="003D7894">
        <w:t>За время работы кафедра Минсельхоза и МГИМО выпустила 36 специалистов по программе профессиональной переподготовки «Атташе по АПК», 22 – по магистерской программе «Мировые аграрные рынки» и 8 – по программе МВА «Мировые аграрные рынки и внешнеэко</w:t>
      </w:r>
      <w:r>
        <w:t xml:space="preserve">номическая деятельность в АПК». </w:t>
      </w:r>
      <w:r w:rsidR="00CC6F45">
        <w:rPr>
          <w:i/>
        </w:rPr>
        <w:t xml:space="preserve">Крестьянские Ведомости </w:t>
      </w:r>
    </w:p>
    <w:p w:rsidR="00F03B85" w:rsidRPr="00D203D7" w:rsidRDefault="00B40B0F" w:rsidP="00F03B85">
      <w:pPr>
        <w:pStyle w:val="a9"/>
      </w:pPr>
      <w:hyperlink r:id="rId12" w:history="1">
        <w:r w:rsidR="00F03B85" w:rsidRPr="00D203D7">
          <w:t>Кредитование сезонных полевых работ увеличилось на 25,4%</w:t>
        </w:r>
      </w:hyperlink>
    </w:p>
    <w:p w:rsidR="00F03B85" w:rsidRDefault="00F03B85" w:rsidP="00F03B85">
      <w:r w:rsidRPr="00D203D7">
        <w:rPr>
          <w:b/>
        </w:rPr>
        <w:t>Минсельхоз России</w:t>
      </w:r>
      <w:r>
        <w:t xml:space="preserve"> ведет оперативный мониторинг в сфере кредитования агропромышленного комплекса страны. По состоянию на 8 сентября общий объем кредитных средств, выданных ключевыми банками на проведение сезонных полевых работ, составил 529,5 млрд рублей, что на 25,4% выше уровня аналогичного периода прошлого года, сообщила пресс-служба Министерства.</w:t>
      </w:r>
    </w:p>
    <w:p w:rsidR="0088128A" w:rsidRDefault="00F03B85" w:rsidP="0088128A">
      <w:pPr>
        <w:rPr>
          <w:i/>
        </w:rPr>
      </w:pPr>
      <w:r>
        <w:t xml:space="preserve">В частности, </w:t>
      </w:r>
      <w:proofErr w:type="spellStart"/>
      <w:r>
        <w:t>Россельхозбанком</w:t>
      </w:r>
      <w:proofErr w:type="spellEnd"/>
      <w:r>
        <w:t xml:space="preserve"> выдано 384,8 млрд рублей, Сбербанком - 144,7 млрд рублей. </w:t>
      </w:r>
      <w:r w:rsidRPr="008B132A">
        <w:rPr>
          <w:i/>
        </w:rPr>
        <w:t>MilkNews.ru</w:t>
      </w:r>
      <w:r>
        <w:rPr>
          <w:i/>
        </w:rPr>
        <w:t xml:space="preserve">, ТАСС, Интерфакс, </w:t>
      </w:r>
      <w:proofErr w:type="spellStart"/>
      <w:r>
        <w:rPr>
          <w:i/>
        </w:rPr>
        <w:t>Финмаркет</w:t>
      </w:r>
      <w:proofErr w:type="spellEnd"/>
    </w:p>
    <w:p w:rsidR="00CC6F45" w:rsidRPr="0088128A" w:rsidRDefault="00B40B0F" w:rsidP="0088128A">
      <w:pPr>
        <w:pStyle w:val="a9"/>
        <w:spacing w:before="0"/>
      </w:pPr>
      <w:hyperlink r:id="rId13" w:history="1">
        <w:r w:rsidR="00CC6F45" w:rsidRPr="0088128A">
          <w:t>Урожай овощей в России с начала 2021 года вырос на 8%</w:t>
        </w:r>
      </w:hyperlink>
    </w:p>
    <w:p w:rsidR="00CC6F45" w:rsidRDefault="00CC6F45" w:rsidP="00CC6F45">
      <w:r>
        <w:t xml:space="preserve">Урожай овощей в РФ, по данным на середину сентября, вырос на 8% и составил 1 млн тонн. Об этом говорится в сообщении </w:t>
      </w:r>
      <w:r w:rsidRPr="00D203D7">
        <w:rPr>
          <w:b/>
        </w:rPr>
        <w:t>Минсельхоза</w:t>
      </w:r>
      <w:r>
        <w:t>.</w:t>
      </w:r>
    </w:p>
    <w:p w:rsidR="00CC6F45" w:rsidRPr="008B132A" w:rsidRDefault="00CC6F45" w:rsidP="00CC6F45">
      <w:pPr>
        <w:rPr>
          <w:i/>
        </w:rPr>
      </w:pPr>
      <w:r>
        <w:t xml:space="preserve">В </w:t>
      </w:r>
      <w:r w:rsidRPr="00D203D7">
        <w:rPr>
          <w:b/>
        </w:rPr>
        <w:t>Минсельхозе</w:t>
      </w:r>
      <w:r>
        <w:t xml:space="preserve"> считают, что динамичному развитию </w:t>
      </w:r>
      <w:proofErr w:type="spellStart"/>
      <w:r>
        <w:t>подотрасли</w:t>
      </w:r>
      <w:proofErr w:type="spellEnd"/>
      <w:r>
        <w:t xml:space="preserve"> способствуют меры господдержки, в первую очередь льготное кредитование. Также аграрии, занимающиеся выращиванием овощей в закрытом грунте с использованием технологии </w:t>
      </w:r>
      <w:proofErr w:type="spellStart"/>
      <w:r>
        <w:t>досвечивания</w:t>
      </w:r>
      <w:proofErr w:type="spellEnd"/>
      <w:r>
        <w:t xml:space="preserve">, могут получать субсидии в рамках госпрограммы развития сельского хозяйства. Кроме того, для регионов Дальнего Востока с 2022 года предусмотрена компенсация 20% капитальных затрат </w:t>
      </w:r>
      <w:r w:rsidRPr="008B132A">
        <w:rPr>
          <w:i/>
        </w:rPr>
        <w:t>ТАСС</w:t>
      </w:r>
      <w:r>
        <w:rPr>
          <w:i/>
        </w:rPr>
        <w:t xml:space="preserve">, Крестьянские Ведомости </w:t>
      </w:r>
    </w:p>
    <w:p w:rsidR="00CC6F45" w:rsidRPr="00D203D7" w:rsidRDefault="00B40B0F" w:rsidP="00CC6F45">
      <w:pPr>
        <w:pStyle w:val="a9"/>
      </w:pPr>
      <w:hyperlink r:id="rId14" w:history="1">
        <w:r w:rsidR="00CC6F45" w:rsidRPr="00D203D7">
          <w:t>Правительство расширило Федеральную научно-техническую программу развития сельского хозяйства</w:t>
        </w:r>
      </w:hyperlink>
    </w:p>
    <w:p w:rsidR="00CC6F45" w:rsidRDefault="00CC6F45" w:rsidP="00CC6F45">
      <w:r>
        <w:t xml:space="preserve">Правительство Российской Федерации утвердило четыре новые подпрограммы Федеральной научно-технической программы развития сельского хозяйства до 2025 года (ФНТП). Постановление об этом подписал Председатель Правительства Михаил </w:t>
      </w:r>
      <w:proofErr w:type="spellStart"/>
      <w:r>
        <w:t>Мишустин</w:t>
      </w:r>
      <w:proofErr w:type="spellEnd"/>
      <w:r>
        <w:t>. Это решение послужит дальнейшему укреплению российского АПК и достижению целей, связанных с обеспечением продовольственной безопасности.</w:t>
      </w:r>
    </w:p>
    <w:p w:rsidR="00CC6F45" w:rsidRDefault="00CC6F45" w:rsidP="00DF10D0">
      <w:r>
        <w:t xml:space="preserve">Речь идет о таких направлениях, как "Развитие производства кормов и кормовых добавок для животных", "Развитие селекции и семеноводства масличных культур", "Улучшение генетического потенциала крупного рогатого скота мясных пород", "Развитие виноградарства, включая </w:t>
      </w:r>
      <w:proofErr w:type="spellStart"/>
      <w:r>
        <w:t>питомниководство</w:t>
      </w:r>
      <w:proofErr w:type="spellEnd"/>
      <w:r>
        <w:t>". На выполнение комплексных научно-технических проектов, отобранных для участия в подпрограммах, выделяются гранты в форме субсидий из федерального бюджета.</w:t>
      </w:r>
      <w:r w:rsidR="00531BB8">
        <w:t xml:space="preserve"> </w:t>
      </w:r>
      <w:r w:rsidRPr="008B132A">
        <w:rPr>
          <w:i/>
        </w:rPr>
        <w:t>Крестьянские Ведомости</w:t>
      </w:r>
      <w:r>
        <w:rPr>
          <w:i/>
        </w:rPr>
        <w:t xml:space="preserve"> </w:t>
      </w:r>
    </w:p>
    <w:p w:rsidR="00D203D7" w:rsidRDefault="00F62502" w:rsidP="00D203D7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E15801" w:rsidRPr="00D203D7" w:rsidRDefault="00B40B0F" w:rsidP="00E15801">
      <w:pPr>
        <w:pStyle w:val="a9"/>
      </w:pPr>
      <w:hyperlink r:id="rId15" w:history="1">
        <w:r w:rsidR="00E15801" w:rsidRPr="00D203D7">
          <w:t>Российских огурцов и помидоров на прилавках магазинов станет больше</w:t>
        </w:r>
      </w:hyperlink>
    </w:p>
    <w:p w:rsidR="00E15801" w:rsidRDefault="00E15801" w:rsidP="00E15801">
      <w:r>
        <w:t xml:space="preserve">Правительство включило в перечень получателей господдержки аграриев, которые выращивают овощи в закрытом грунте с использованием технологии </w:t>
      </w:r>
      <w:proofErr w:type="spellStart"/>
      <w:r>
        <w:t>досвечивания</w:t>
      </w:r>
      <w:proofErr w:type="spellEnd"/>
      <w:r>
        <w:t xml:space="preserve">. Соответствующее постановление </w:t>
      </w:r>
      <w:proofErr w:type="spellStart"/>
      <w:r>
        <w:t>кабмина</w:t>
      </w:r>
      <w:proofErr w:type="spellEnd"/>
      <w:r>
        <w:t xml:space="preserve"> от 30 августа 2021 года № 1445 вступает в силу 14 сентября. </w:t>
      </w:r>
    </w:p>
    <w:p w:rsidR="00E15801" w:rsidRDefault="00E15801" w:rsidP="00E15801">
      <w:pPr>
        <w:rPr>
          <w:i/>
        </w:rPr>
      </w:pPr>
      <w:r>
        <w:t xml:space="preserve">Аграрии, занимающиеся выращиванием овощей в закрытом грунте с использованием технологии </w:t>
      </w:r>
      <w:proofErr w:type="spellStart"/>
      <w:r>
        <w:t>досвечивания</w:t>
      </w:r>
      <w:proofErr w:type="spellEnd"/>
      <w:r>
        <w:t xml:space="preserve">, смогут претендовать на поддержку в рамках </w:t>
      </w:r>
      <w:r w:rsidRPr="00D203D7">
        <w:rPr>
          <w:b/>
        </w:rPr>
        <w:t>госпрограммы развития сельского хозяйства</w:t>
      </w:r>
      <w:r>
        <w:t xml:space="preserve">. Постановление об этом подписал Председатель Правительства Михаил </w:t>
      </w:r>
      <w:proofErr w:type="spellStart"/>
      <w:r>
        <w:t>Мишустин</w:t>
      </w:r>
      <w:proofErr w:type="spellEnd"/>
      <w:r>
        <w:t xml:space="preserve">. </w:t>
      </w:r>
      <w:r>
        <w:rPr>
          <w:i/>
        </w:rPr>
        <w:t xml:space="preserve">Парламентская газета </w:t>
      </w:r>
    </w:p>
    <w:p w:rsidR="00A0533D" w:rsidRPr="00D203D7" w:rsidRDefault="00A0533D" w:rsidP="00A0533D">
      <w:pPr>
        <w:pStyle w:val="a9"/>
      </w:pPr>
      <w:r w:rsidRPr="00D203D7">
        <w:t>Подходы разошлись с отходами</w:t>
      </w:r>
    </w:p>
    <w:p w:rsidR="00A0533D" w:rsidRDefault="00A0533D" w:rsidP="00A0533D">
      <w:proofErr w:type="spellStart"/>
      <w:r>
        <w:t>Минпромторг</w:t>
      </w:r>
      <w:proofErr w:type="spellEnd"/>
      <w:r>
        <w:t xml:space="preserve"> </w:t>
      </w:r>
      <w:r w:rsidRPr="00A0533D">
        <w:t>не согласовал законопроект о расширенной ответ</w:t>
      </w:r>
      <w:r w:rsidR="00054BDF">
        <w:t xml:space="preserve">ственности производителей (РОП </w:t>
      </w:r>
      <w:r w:rsidRPr="00A0533D">
        <w:t xml:space="preserve">предполагает, что производители должны утилизировать все отслужившие свое товары и упаковку), подготовленный </w:t>
      </w:r>
      <w:proofErr w:type="spellStart"/>
      <w:r w:rsidRPr="00A0533D">
        <w:t>минприроды</w:t>
      </w:r>
      <w:proofErr w:type="spellEnd"/>
      <w:r w:rsidRPr="00A0533D">
        <w:t xml:space="preserve">. Против выступает и </w:t>
      </w:r>
      <w:proofErr w:type="spellStart"/>
      <w:r w:rsidRPr="00A0533D">
        <w:t>минсельхоз</w:t>
      </w:r>
      <w:proofErr w:type="spellEnd"/>
      <w:r w:rsidRPr="00A0533D">
        <w:t>, ранее документ раскритиковало минэкономразвития. Если в ближайшее время ведомства не договорятся, 1 января 2022 года реформа не стартует.</w:t>
      </w:r>
      <w:r>
        <w:t xml:space="preserve"> </w:t>
      </w:r>
    </w:p>
    <w:p w:rsidR="00A0533D" w:rsidRDefault="00A0533D" w:rsidP="00E15801">
      <w:pPr>
        <w:rPr>
          <w:i/>
        </w:rPr>
      </w:pPr>
      <w:proofErr w:type="spellStart"/>
      <w:r>
        <w:rPr>
          <w:rFonts w:cs="Arial"/>
          <w:color w:val="000000"/>
          <w:spacing w:val="3"/>
        </w:rPr>
        <w:t>Союзмолоко</w:t>
      </w:r>
      <w:proofErr w:type="spellEnd"/>
      <w:r>
        <w:rPr>
          <w:rFonts w:cs="Arial"/>
          <w:color w:val="000000"/>
          <w:spacing w:val="3"/>
        </w:rPr>
        <w:t xml:space="preserve"> выступает за введение ответственности производителя за утилизацию упаковки, но предлагает затраты бизнеса увеличивать постепенно, что особенно важно в условиях растущей себестоимости. Разработанные поправки РОП за утилизацию упаковки приведут к существенному росту затрат для молочных производителей. И особенно серьезные риски в </w:t>
      </w:r>
      <w:proofErr w:type="spellStart"/>
      <w:r>
        <w:rPr>
          <w:rFonts w:cs="Arial"/>
          <w:color w:val="000000"/>
          <w:spacing w:val="3"/>
        </w:rPr>
        <w:t>Союзмолоке</w:t>
      </w:r>
      <w:proofErr w:type="spellEnd"/>
      <w:r>
        <w:rPr>
          <w:rFonts w:cs="Arial"/>
          <w:color w:val="000000"/>
          <w:spacing w:val="3"/>
        </w:rPr>
        <w:t xml:space="preserve"> видят в том, что все заложенные нормы могут быть введены одномоментно. </w:t>
      </w:r>
      <w:r w:rsidRPr="008B132A">
        <w:rPr>
          <w:i/>
        </w:rPr>
        <w:t>Российская газета</w:t>
      </w:r>
    </w:p>
    <w:p w:rsidR="00124C39" w:rsidRDefault="00124C39" w:rsidP="00124C39">
      <w:pPr>
        <w:rPr>
          <w:rFonts w:cs="Arial"/>
          <w:b/>
          <w:caps/>
          <w:color w:val="000000" w:themeColor="text1"/>
          <w:szCs w:val="18"/>
        </w:rPr>
      </w:pPr>
    </w:p>
    <w:p w:rsidR="00124C39" w:rsidRPr="00124C39" w:rsidRDefault="00124C39" w:rsidP="00124C39">
      <w:pPr>
        <w:rPr>
          <w:rFonts w:cs="Arial"/>
          <w:b/>
          <w:caps/>
          <w:color w:val="000000" w:themeColor="text1"/>
          <w:szCs w:val="18"/>
        </w:rPr>
      </w:pPr>
      <w:r w:rsidRPr="00124C39">
        <w:rPr>
          <w:rFonts w:cs="Arial"/>
          <w:b/>
          <w:caps/>
          <w:color w:val="000000" w:themeColor="text1"/>
          <w:szCs w:val="18"/>
        </w:rPr>
        <w:t>"Опора России" предложила Минсельхозу меры поддержки экспорта зерна через малые порты</w:t>
      </w:r>
    </w:p>
    <w:p w:rsidR="00124C39" w:rsidRPr="00124C39" w:rsidRDefault="00124C39" w:rsidP="00124C39">
      <w:r w:rsidRPr="00124C39">
        <w:t>Бизнес-объединение "Опора России" предложило главе Минсельхоза РФ Дмитрию Патрушеву поддержать мелкий и средний экспорт зерна, включив в ценовой индекс для расчета ставок вывозных таможенных пошлин цены на пшеницу, экспортируемую через мелководные порты Азово-Черноморского бассейна. Об этом говорится в письме бизнес-объединения за подписью его президента Александра Калин</w:t>
      </w:r>
      <w:r>
        <w:t>ина (есть в распоряжении ТАСС).</w:t>
      </w:r>
    </w:p>
    <w:p w:rsidR="00124C39" w:rsidRPr="00124C39" w:rsidRDefault="00124C39" w:rsidP="00124C39">
      <w:r w:rsidRPr="00124C39">
        <w:lastRenderedPageBreak/>
        <w:t xml:space="preserve">Бизнес-объединение также предлагает применять поправочный понижающий коэффициент при расчете вывозных таможенных пошлин на все зерновые культуры (пшеница, ячмень, кукуруза), экспортируемые через мелководные порты (Ростов-на-Дону, Азов, Темрюк, Ейск), использовать его также для расчета вывозных таможенных пошлин при экспорте зерновых культур через наземные базисы (авто- и железнодорожный транспорт). </w:t>
      </w:r>
      <w:r w:rsidRPr="00124C39">
        <w:rPr>
          <w:i/>
        </w:rPr>
        <w:t>ТАСС</w:t>
      </w:r>
    </w:p>
    <w:p w:rsidR="004B4840" w:rsidRPr="00584C95" w:rsidRDefault="00B40B0F" w:rsidP="00124C39">
      <w:pPr>
        <w:pStyle w:val="a9"/>
      </w:pPr>
      <w:hyperlink r:id="rId16" w:history="1">
        <w:r w:rsidR="004B4840" w:rsidRPr="00584C95">
          <w:t>Майоров: в законопроект о семеноводстве подготовили поправки</w:t>
        </w:r>
      </w:hyperlink>
    </w:p>
    <w:p w:rsidR="004B4840" w:rsidRPr="00A0533D" w:rsidRDefault="004B4840" w:rsidP="00804146">
      <w:r>
        <w:t>Сенаторы подгото</w:t>
      </w:r>
      <w:r w:rsidR="00D56A4D">
        <w:t xml:space="preserve">вили поправки в проект закона </w:t>
      </w:r>
      <w:r>
        <w:t xml:space="preserve">"О семеноводстве", направленные, в частности, на совершенствование государственного надзора в области семеноводства, заявил председатель Комитета по аграрно-промышленной политике и природопользованию Алексей Майоров. </w:t>
      </w:r>
      <w:r w:rsidR="00804146">
        <w:t xml:space="preserve"> «Эти изменения направлены на совершенствование терминологии, положений о федеральном государственном контроле (надзоре) в области семеноводства, о порядке испытаний сортов и гибридов и внесении в Государственный реестр селекционных достижений, допущенных к использованию, а также о функционировании информационной системы в сфере семеноводства», — сказал Майоров. </w:t>
      </w:r>
      <w:r w:rsidRPr="00C47D86">
        <w:rPr>
          <w:i/>
        </w:rPr>
        <w:t>Парламентская газе</w:t>
      </w:r>
      <w:r>
        <w:rPr>
          <w:i/>
        </w:rPr>
        <w:t xml:space="preserve">та, </w:t>
      </w:r>
      <w:r w:rsidRPr="00C47D86">
        <w:rPr>
          <w:i/>
        </w:rPr>
        <w:t>Крестьянские Ведомости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E15801" w:rsidRDefault="00E15801" w:rsidP="00E15801">
      <w:pPr>
        <w:pStyle w:val="a9"/>
        <w:spacing w:before="0"/>
      </w:pPr>
    </w:p>
    <w:p w:rsidR="0055239A" w:rsidRPr="00D203D7" w:rsidRDefault="00B40B0F" w:rsidP="0055239A">
      <w:pPr>
        <w:pStyle w:val="a9"/>
        <w:spacing w:before="0"/>
      </w:pPr>
      <w:hyperlink r:id="rId17" w:history="1">
        <w:r w:rsidR="0055239A" w:rsidRPr="00D203D7">
          <w:t>Урожай отличный!</w:t>
        </w:r>
      </w:hyperlink>
    </w:p>
    <w:p w:rsidR="0055239A" w:rsidRPr="00C47D86" w:rsidRDefault="0055239A" w:rsidP="0055239A">
      <w:pPr>
        <w:rPr>
          <w:i/>
        </w:rPr>
      </w:pPr>
      <w:r>
        <w:t xml:space="preserve">Хорошие новости - дефицита продовольствия не ожидается. У нас в этом </w:t>
      </w:r>
      <w:r w:rsidR="00054BDF">
        <w:t xml:space="preserve">году </w:t>
      </w:r>
      <w:r>
        <w:t xml:space="preserve">опять отличный урожай. И яблок море, и свеклы с подсолнечником. И в общих словах, и в цифрах. Картофеля в этом году - семь с лишним миллионов тонн. Это больше, чем в год пандемии. По овощам огромный прирост - сразу на 200 тысяч тонн. По бахчевым культурам - тоже скачок - почти на 21 %. По зерновым - рекордов нет, но и поводов для беспокойства никаких. Тут цифры тоже хорошие. В общем пустыми полкам в магазинах не бывать. Главное, чтобы эти прекрасные урожайные перспективы хотя бы как-то на рост цен повлияли. Ну и - чтобы наша покупательная способность не подвела. </w:t>
      </w:r>
      <w:r w:rsidRPr="008B132A">
        <w:rPr>
          <w:i/>
        </w:rPr>
        <w:t>Общественное телевидение России</w:t>
      </w:r>
    </w:p>
    <w:p w:rsidR="0055239A" w:rsidRPr="00D203D7" w:rsidRDefault="00B40B0F" w:rsidP="0055239A">
      <w:pPr>
        <w:pStyle w:val="a9"/>
      </w:pPr>
      <w:hyperlink r:id="rId18" w:history="1">
        <w:r w:rsidR="0055239A" w:rsidRPr="00D203D7">
          <w:t>На севере Красноярского края построят крупный логистический центр</w:t>
        </w:r>
      </w:hyperlink>
    </w:p>
    <w:p w:rsidR="0055239A" w:rsidRPr="00CC6F45" w:rsidRDefault="0055239A" w:rsidP="0055239A">
      <w:r>
        <w:t>Крупный оптово-логистический центр для хранения продуктов питания будет построен в Дудинке. Ожидается, что объект п</w:t>
      </w:r>
      <w:r w:rsidR="000E1640">
        <w:t>оявит</w:t>
      </w:r>
      <w:r>
        <w:t xml:space="preserve">ся к 2024 году. Об этом стало известно по итогам совещания с участием представителей регионального правительства, </w:t>
      </w:r>
      <w:proofErr w:type="spellStart"/>
      <w:r>
        <w:t>заксобрания</w:t>
      </w:r>
      <w:proofErr w:type="spellEnd"/>
      <w:r>
        <w:t xml:space="preserve"> и муниципальных властей. </w:t>
      </w:r>
      <w:r w:rsidRPr="008B132A">
        <w:rPr>
          <w:i/>
        </w:rPr>
        <w:t xml:space="preserve">РИА </w:t>
      </w:r>
      <w:proofErr w:type="spellStart"/>
      <w:r w:rsidRPr="008B132A">
        <w:rPr>
          <w:i/>
        </w:rPr>
        <w:t>ФедералПресс</w:t>
      </w:r>
      <w:proofErr w:type="spellEnd"/>
    </w:p>
    <w:p w:rsidR="0055239A" w:rsidRDefault="0055239A" w:rsidP="00E15801">
      <w:pPr>
        <w:pStyle w:val="a9"/>
        <w:spacing w:before="0"/>
      </w:pPr>
    </w:p>
    <w:p w:rsidR="00E15801" w:rsidRPr="00D203D7" w:rsidRDefault="00B40B0F" w:rsidP="00E15801">
      <w:pPr>
        <w:pStyle w:val="a9"/>
        <w:spacing w:before="0"/>
      </w:pPr>
      <w:hyperlink r:id="rId19" w:history="1">
        <w:r w:rsidR="00E15801" w:rsidRPr="00D203D7">
          <w:t>Российская винодельня вошла в топ-100 World's Best Vineyards</w:t>
        </w:r>
      </w:hyperlink>
    </w:p>
    <w:p w:rsidR="00E15801" w:rsidRPr="00CC6F45" w:rsidRDefault="00E15801" w:rsidP="00E15801">
      <w:r>
        <w:t xml:space="preserve">Российская винодельня вошла в расширенный список лучших виноделен в мире по версии </w:t>
      </w:r>
      <w:proofErr w:type="spellStart"/>
      <w:r>
        <w:t>World's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Vineyards</w:t>
      </w:r>
      <w:proofErr w:type="spellEnd"/>
      <w:r>
        <w:t xml:space="preserve">. Об этом говорится на сайте портала, изучающего лучшие виноградники мира, выбранные </w:t>
      </w:r>
      <w:r w:rsidRPr="00E15801">
        <w:t>экспертами и любителями. На 80-м месте в списке — частное хозяйство «Виноградники Гай-</w:t>
      </w:r>
      <w:proofErr w:type="spellStart"/>
      <w:r w:rsidRPr="00E15801">
        <w:t>Кодзора</w:t>
      </w:r>
      <w:proofErr w:type="spellEnd"/>
      <w:r w:rsidRPr="00E15801">
        <w:t>», расположенное в Краснодарском крае. Винодельня находится в 5 км от Анапы</w:t>
      </w:r>
      <w:r w:rsidRPr="00E15801">
        <w:rPr>
          <w:i/>
        </w:rPr>
        <w:t>.</w:t>
      </w:r>
      <w:r>
        <w:rPr>
          <w:i/>
        </w:rPr>
        <w:t xml:space="preserve"> Известия</w:t>
      </w:r>
    </w:p>
    <w:p w:rsidR="003E6221" w:rsidRDefault="003E6221" w:rsidP="003E6221">
      <w:pPr>
        <w:rPr>
          <w:rFonts w:cs="Arial"/>
          <w:b/>
          <w:caps/>
          <w:color w:val="000000" w:themeColor="text1"/>
          <w:szCs w:val="18"/>
        </w:rPr>
      </w:pPr>
    </w:p>
    <w:p w:rsidR="006D1FA8" w:rsidRPr="006D1FA8" w:rsidRDefault="006D1FA8" w:rsidP="006D1FA8">
      <w:pPr>
        <w:rPr>
          <w:rFonts w:cs="Arial"/>
          <w:b/>
          <w:caps/>
          <w:color w:val="000000" w:themeColor="text1"/>
          <w:szCs w:val="18"/>
        </w:rPr>
      </w:pPr>
      <w:r w:rsidRPr="006D1FA8">
        <w:rPr>
          <w:rFonts w:cs="Arial"/>
          <w:b/>
          <w:caps/>
          <w:color w:val="000000" w:themeColor="text1"/>
          <w:szCs w:val="18"/>
        </w:rPr>
        <w:t>Росста</w:t>
      </w:r>
      <w:r>
        <w:rPr>
          <w:rFonts w:cs="Arial"/>
          <w:b/>
          <w:caps/>
          <w:color w:val="000000" w:themeColor="text1"/>
          <w:szCs w:val="18"/>
        </w:rPr>
        <w:t>т планирует опубликовать итоги</w:t>
      </w:r>
      <w:r w:rsidRPr="006D1FA8">
        <w:rPr>
          <w:rFonts w:cs="Arial"/>
          <w:b/>
          <w:caps/>
          <w:color w:val="000000" w:themeColor="text1"/>
          <w:szCs w:val="18"/>
        </w:rPr>
        <w:t xml:space="preserve"> сельскохозяйственной микропереписи в четвертом квартале 2022 года</w:t>
      </w:r>
    </w:p>
    <w:p w:rsidR="006D1FA8" w:rsidRPr="006D1FA8" w:rsidRDefault="006D1FA8" w:rsidP="006D1FA8">
      <w:r w:rsidRPr="006D1FA8">
        <w:t xml:space="preserve">Росстат планирует опубликовать итоги первой сельскохозяйственной </w:t>
      </w:r>
      <w:proofErr w:type="spellStart"/>
      <w:r w:rsidRPr="006D1FA8">
        <w:t>микропереписи</w:t>
      </w:r>
      <w:proofErr w:type="spellEnd"/>
      <w:r w:rsidRPr="006D1FA8">
        <w:t xml:space="preserve"> в четвертом квартале 2022 года, в настоящее время проводится консолидация полученных данных.</w:t>
      </w:r>
    </w:p>
    <w:p w:rsidR="006D1FA8" w:rsidRPr="006D1FA8" w:rsidRDefault="006D1FA8" w:rsidP="006D1FA8">
      <w:r w:rsidRPr="006D1FA8">
        <w:t xml:space="preserve">"Оперативные итоги будут обнародованы в ноябре этого года", - сообщила начальник управления статистики сельского хозяйства и окружающей природной среды ведомства Наталья </w:t>
      </w:r>
      <w:proofErr w:type="spellStart"/>
      <w:r w:rsidRPr="006D1FA8">
        <w:t>Шашлова</w:t>
      </w:r>
      <w:proofErr w:type="spellEnd"/>
      <w:r w:rsidRPr="006D1FA8">
        <w:t xml:space="preserve"> на заседании общественного совета Росстата</w:t>
      </w:r>
      <w:r>
        <w:t xml:space="preserve"> в понедельник.</w:t>
      </w:r>
    </w:p>
    <w:p w:rsidR="006D1FA8" w:rsidRPr="006D1FA8" w:rsidRDefault="006D1FA8" w:rsidP="006D1FA8">
      <w:r w:rsidRPr="006D1FA8">
        <w:t xml:space="preserve">По ее словам, интерес к данным переписи высок, в этой ситуации очень важно выверить все полученные данные перед тем, как их представить. </w:t>
      </w:r>
      <w:r w:rsidRPr="003E6221">
        <w:rPr>
          <w:i/>
        </w:rPr>
        <w:t>Интерфакс</w:t>
      </w:r>
    </w:p>
    <w:p w:rsidR="006D1FA8" w:rsidRDefault="006D1FA8" w:rsidP="006D1FA8">
      <w:pPr>
        <w:rPr>
          <w:rFonts w:cs="Arial"/>
          <w:b/>
          <w:caps/>
          <w:color w:val="000000" w:themeColor="text1"/>
          <w:szCs w:val="18"/>
        </w:rPr>
      </w:pPr>
    </w:p>
    <w:p w:rsidR="003E6221" w:rsidRPr="003E6221" w:rsidRDefault="003E6221" w:rsidP="006D1FA8">
      <w:pPr>
        <w:rPr>
          <w:rFonts w:cs="Arial"/>
          <w:b/>
          <w:caps/>
          <w:color w:val="000000" w:themeColor="text1"/>
          <w:szCs w:val="18"/>
        </w:rPr>
      </w:pPr>
      <w:r w:rsidRPr="003E6221">
        <w:rPr>
          <w:rFonts w:cs="Arial"/>
          <w:b/>
          <w:caps/>
          <w:color w:val="000000" w:themeColor="text1"/>
          <w:szCs w:val="18"/>
        </w:rPr>
        <w:t>Качество зерна в этом году лучше прошлогоднего</w:t>
      </w:r>
    </w:p>
    <w:p w:rsidR="003E6221" w:rsidRPr="003E6221" w:rsidRDefault="003E6221" w:rsidP="003E6221">
      <w:r w:rsidRPr="003E6221">
        <w:t xml:space="preserve">Качество зерна в этом году лучше прошлогоднего, сбор продовольственной пшеницы (1-4 классы) больше, сообщает Центр оценки качества зерна и продуктов его переработки (ведомство </w:t>
      </w:r>
      <w:proofErr w:type="spellStart"/>
      <w:r w:rsidRPr="003E6221">
        <w:t>Россельхознадзора</w:t>
      </w:r>
      <w:proofErr w:type="spellEnd"/>
      <w:r w:rsidRPr="003E6221">
        <w:t>).</w:t>
      </w:r>
    </w:p>
    <w:p w:rsidR="003E6221" w:rsidRPr="003E6221" w:rsidRDefault="003E6221" w:rsidP="003E6221">
      <w:r w:rsidRPr="003E6221">
        <w:t xml:space="preserve">По его данным, к 6 августа было исследовано 26,2 млн тонн пшеницы из собранных к тому времени 60,4 млн тонн. Пшеницы 1 класса выявлено 0,01% (0,002% по итогам 2020 года), пшеницы 2 класса - </w:t>
      </w:r>
      <w:r>
        <w:t>0,1% (на уровне прошлого года).</w:t>
      </w:r>
    </w:p>
    <w:p w:rsidR="003E6221" w:rsidRPr="003E6221" w:rsidRDefault="003E6221" w:rsidP="003E6221">
      <w:r w:rsidRPr="003E6221">
        <w:t>Доля пшеницы 3 класса составила 43,9% от обследованной (32,1% по итогам 2020 года), пшеницы 4 класса - 42,8% (</w:t>
      </w:r>
      <w:r>
        <w:t>40,3%).</w:t>
      </w:r>
    </w:p>
    <w:p w:rsidR="003E6221" w:rsidRPr="003E6221" w:rsidRDefault="003E6221" w:rsidP="003E6221">
      <w:r w:rsidRPr="003E6221">
        <w:t>В то же время доля пшеницы 5 класса (фуражная) сократилась до 13,2% против 27,3% в 2020 году.</w:t>
      </w:r>
      <w:r>
        <w:t xml:space="preserve"> </w:t>
      </w:r>
      <w:r w:rsidRPr="003E6221">
        <w:rPr>
          <w:i/>
        </w:rPr>
        <w:t xml:space="preserve">Интерфакс </w:t>
      </w:r>
    </w:p>
    <w:p w:rsidR="00344142" w:rsidRDefault="00344142" w:rsidP="00C9371D">
      <w:pPr>
        <w:rPr>
          <w:rFonts w:cs="Arial"/>
          <w:b/>
          <w:caps/>
          <w:color w:val="000000" w:themeColor="text1"/>
          <w:szCs w:val="18"/>
        </w:rPr>
      </w:pPr>
    </w:p>
    <w:p w:rsidR="00C9371D" w:rsidRPr="00C9371D" w:rsidRDefault="00C9371D" w:rsidP="00C9371D">
      <w:pPr>
        <w:rPr>
          <w:rFonts w:cs="Arial"/>
          <w:b/>
          <w:caps/>
          <w:color w:val="000000" w:themeColor="text1"/>
          <w:szCs w:val="18"/>
        </w:rPr>
      </w:pPr>
      <w:r w:rsidRPr="00C9371D">
        <w:rPr>
          <w:rFonts w:cs="Arial"/>
          <w:b/>
          <w:caps/>
          <w:color w:val="000000" w:themeColor="text1"/>
          <w:szCs w:val="18"/>
        </w:rPr>
        <w:t>Инвесторы едят по-деревенски</w:t>
      </w:r>
    </w:p>
    <w:p w:rsidR="00C9371D" w:rsidRPr="00C9371D" w:rsidRDefault="00C9371D" w:rsidP="007A542D">
      <w:r w:rsidRPr="00C9371D">
        <w:t xml:space="preserve">Бурный рост продаж скоропортящихся продуктов в </w:t>
      </w:r>
      <w:proofErr w:type="spellStart"/>
      <w:r w:rsidRPr="00C9371D">
        <w:t>онлайне</w:t>
      </w:r>
      <w:proofErr w:type="spellEnd"/>
      <w:r w:rsidRPr="00C9371D">
        <w:t xml:space="preserve"> и интерес фермеров к </w:t>
      </w:r>
      <w:proofErr w:type="spellStart"/>
      <w:r w:rsidRPr="00C9371D">
        <w:t>интернет-торговле</w:t>
      </w:r>
      <w:proofErr w:type="spellEnd"/>
      <w:r w:rsidRPr="00C9371D">
        <w:t xml:space="preserve"> продолжают привлекать инвесторов в этот сегмент. Миноритарным владельцем проекта «Ешь деревенское», доставляющего продукцию из подсобных хозяйств, стала структура Романа Баталова, зятя экс-главы Краснодарского края Александра Ткачева. Такие проекты, как говорят игроки этого рынка, могут показать оптимальную рентабельность из-за высокого среднего чека.</w:t>
      </w:r>
      <w:r w:rsidR="00416061" w:rsidRPr="00416061">
        <w:rPr>
          <w:i/>
        </w:rPr>
        <w:t xml:space="preserve"> </w:t>
      </w:r>
      <w:r w:rsidR="00416061" w:rsidRPr="0097601C">
        <w:rPr>
          <w:i/>
        </w:rPr>
        <w:t>Коммерсантъ</w:t>
      </w:r>
    </w:p>
    <w:p w:rsidR="000F021C" w:rsidRPr="00D203D7" w:rsidRDefault="00B40B0F" w:rsidP="007A542D">
      <w:pPr>
        <w:pStyle w:val="a9"/>
      </w:pPr>
      <w:hyperlink r:id="rId20" w:history="1">
        <w:r w:rsidR="000F021C" w:rsidRPr="00D203D7">
          <w:t>Объем поддержки пищевых предприятий на Ставрополье увеличат в шесть раз в 2022 году</w:t>
        </w:r>
      </w:hyperlink>
    </w:p>
    <w:p w:rsidR="000F021C" w:rsidRDefault="000F021C" w:rsidP="007A542D">
      <w:r>
        <w:t xml:space="preserve">Власти Ставрополья направят на поддержку пищевых предприятий в 2022 году свыше 36 млн рублей, что в шесть раз больше, чем в нынешнем году. Об этом сообщили журналистам в управлении по </w:t>
      </w:r>
      <w:proofErr w:type="spellStart"/>
      <w:r>
        <w:t>информполитике</w:t>
      </w:r>
      <w:proofErr w:type="spellEnd"/>
      <w:r>
        <w:t xml:space="preserve"> правительства края.</w:t>
      </w:r>
    </w:p>
    <w:p w:rsidR="000F021C" w:rsidRPr="00CC6F45" w:rsidRDefault="000F021C" w:rsidP="007A542D">
      <w:pPr>
        <w:rPr>
          <w:i/>
        </w:rPr>
      </w:pPr>
      <w:r>
        <w:t xml:space="preserve">Ранее сообщалось, что в последние три года объем инвестиций в пищевую и перерабатывающую промышленность вырос на 60% и составил более 4 млрд рублей. За этот период реализовано 19 инвестиционных проектов, создано около 900 рабочих мест. </w:t>
      </w:r>
      <w:r w:rsidRPr="009B02AA">
        <w:rPr>
          <w:i/>
        </w:rPr>
        <w:t>ТАСС</w:t>
      </w:r>
    </w:p>
    <w:p w:rsidR="00DF10D0" w:rsidRPr="00D203D7" w:rsidRDefault="00B40B0F" w:rsidP="007A542D">
      <w:pPr>
        <w:pStyle w:val="a9"/>
      </w:pPr>
      <w:hyperlink r:id="rId21" w:history="1">
        <w:r w:rsidR="00DF10D0" w:rsidRPr="00D203D7">
          <w:t>В Минсельхозе Подмосковья рассказали о лидерстве региона по производству сыра в России</w:t>
        </w:r>
      </w:hyperlink>
    </w:p>
    <w:p w:rsidR="00DF10D0" w:rsidRPr="00DF10D0" w:rsidRDefault="00DF10D0" w:rsidP="007A542D">
      <w:r>
        <w:t xml:space="preserve">Министр сельского хозяйства и продовольствия Московской области Сергей Воскресенский рассказал, что в регионе произвели больше всего сыра в России по итогам семи месяцев 2021 года. По его словам, за семь месяцев в области произвели 46,6 тыс. тонн сыра. Это на 31,3% больше, чем год назад. «По объёму производства сыров Московская область занимает первое место в России по итогам семи месяцев», — заявил Сергей Воскресенский. </w:t>
      </w:r>
      <w:r>
        <w:rPr>
          <w:i/>
        </w:rPr>
        <w:t>RT</w:t>
      </w:r>
    </w:p>
    <w:p w:rsidR="004B4840" w:rsidRPr="00D203D7" w:rsidRDefault="00B40B0F" w:rsidP="004B4840">
      <w:pPr>
        <w:pStyle w:val="a9"/>
      </w:pPr>
      <w:hyperlink r:id="rId22" w:history="1">
        <w:r w:rsidR="004B4840" w:rsidRPr="00D203D7">
          <w:t>Экспортные цены на пшеницу из России обновили семилетний максимум</w:t>
        </w:r>
      </w:hyperlink>
    </w:p>
    <w:p w:rsidR="004B4840" w:rsidRPr="004B4840" w:rsidRDefault="004B4840" w:rsidP="004B4840">
      <w:r>
        <w:t xml:space="preserve">Экспортные цены российской </w:t>
      </w:r>
      <w:r w:rsidRPr="00D203D7">
        <w:rPr>
          <w:b/>
        </w:rPr>
        <w:t>пшеницы</w:t>
      </w:r>
      <w:r>
        <w:t xml:space="preserve"> на прошлой неделе в среднем составили $303 за тонну, сообщила аналитическая компания "</w:t>
      </w:r>
      <w:proofErr w:type="spellStart"/>
      <w:r>
        <w:t>Совэкон</w:t>
      </w:r>
      <w:proofErr w:type="spellEnd"/>
      <w:r>
        <w:t xml:space="preserve">". Эксперты отмечают, что такого уровня цены достигли впервые за семь лет. </w:t>
      </w:r>
      <w:r>
        <w:rPr>
          <w:i/>
        </w:rPr>
        <w:t xml:space="preserve">Коммерсантъ, </w:t>
      </w:r>
      <w:r w:rsidRPr="008B132A">
        <w:rPr>
          <w:i/>
        </w:rPr>
        <w:t>Э</w:t>
      </w:r>
      <w:r>
        <w:rPr>
          <w:i/>
        </w:rPr>
        <w:t xml:space="preserve">ксперт </w:t>
      </w:r>
    </w:p>
    <w:p w:rsidR="004B4840" w:rsidRPr="008B132A" w:rsidRDefault="004B4840" w:rsidP="004B4840">
      <w:pPr>
        <w:rPr>
          <w:i/>
        </w:rPr>
      </w:pPr>
    </w:p>
    <w:p w:rsidR="004B4840" w:rsidRPr="00A0533D" w:rsidRDefault="004B4840" w:rsidP="004B4840">
      <w:pPr>
        <w:rPr>
          <w:rFonts w:cs="Arial"/>
          <w:b/>
          <w:caps/>
          <w:color w:val="000000" w:themeColor="text1"/>
          <w:szCs w:val="18"/>
        </w:rPr>
      </w:pPr>
      <w:r w:rsidRPr="00A0533D">
        <w:rPr>
          <w:rFonts w:cs="Arial"/>
          <w:b/>
          <w:caps/>
          <w:color w:val="000000" w:themeColor="text1"/>
          <w:szCs w:val="18"/>
        </w:rPr>
        <w:t>Россия может разделить первенство по экспорту пшеницы с Евросоюзом</w:t>
      </w:r>
    </w:p>
    <w:p w:rsidR="004B4840" w:rsidRDefault="004B4840" w:rsidP="004B4840">
      <w:r w:rsidRPr="00A0533D">
        <w:t xml:space="preserve">Вопреки ожиданиям экспертов </w:t>
      </w:r>
      <w:proofErr w:type="spellStart"/>
      <w:r w:rsidRPr="00A0533D">
        <w:t>минсельхоз</w:t>
      </w:r>
      <w:proofErr w:type="spellEnd"/>
      <w:r w:rsidRPr="00A0533D">
        <w:t xml:space="preserve"> США (USDA) в сентябрьском прогнозе сохранил крайне низкую оценку российского урожая пшеницы - 72,5 млн тонн (без учета Крыма). При этом Россия, в прошлом году лидировавшая по поставкам пшеницы на мировой рынок, в этом году может это лидерство разделить с Евросоюзом.</w:t>
      </w:r>
      <w:r>
        <w:t xml:space="preserve"> </w:t>
      </w:r>
    </w:p>
    <w:p w:rsidR="004B4840" w:rsidRPr="00A0533D" w:rsidRDefault="004B4840" w:rsidP="004B4840">
      <w:r>
        <w:rPr>
          <w:rFonts w:cs="Arial"/>
          <w:color w:val="000000"/>
          <w:spacing w:val="3"/>
        </w:rPr>
        <w:t>USDA имеет технические возможности делать прогнозы на основании данных со спутников, но "решил не рисковать" и рассчитал по цифрам Росстата, считает председатель правления Союза экспортеров зерна Эдуард Зернин. Оценка аналитической компании "</w:t>
      </w:r>
      <w:proofErr w:type="spellStart"/>
      <w:r>
        <w:rPr>
          <w:rFonts w:cs="Arial"/>
          <w:color w:val="000000"/>
          <w:spacing w:val="3"/>
        </w:rPr>
        <w:t>ПроЗерно</w:t>
      </w:r>
      <w:proofErr w:type="spellEnd"/>
      <w:r>
        <w:rPr>
          <w:rFonts w:cs="Arial"/>
          <w:color w:val="000000"/>
          <w:spacing w:val="3"/>
        </w:rPr>
        <w:t xml:space="preserve">" - 77 млн тонн пшеницы. Ее гендиректор Владимир Петриченко "разочарован" оценкой USDA. Но считает, что в ближайшей перспективе она ни на что не повлияет - мировые цены на фоне общего слегка увеличенного прогноза американских аналитиков немного снизились, и пока нет оснований считать, что снова пойдут вверх. </w:t>
      </w:r>
      <w:r w:rsidRPr="008B132A">
        <w:rPr>
          <w:i/>
        </w:rPr>
        <w:t>Российская газета</w:t>
      </w:r>
    </w:p>
    <w:p w:rsidR="004B4840" w:rsidRDefault="004B4840" w:rsidP="00A0533D">
      <w:pPr>
        <w:rPr>
          <w:rFonts w:cs="Arial"/>
          <w:b/>
          <w:caps/>
          <w:color w:val="000000" w:themeColor="text1"/>
          <w:szCs w:val="18"/>
        </w:rPr>
      </w:pPr>
    </w:p>
    <w:p w:rsidR="00A0533D" w:rsidRPr="00A0533D" w:rsidRDefault="00A0533D" w:rsidP="00A0533D">
      <w:pPr>
        <w:rPr>
          <w:rFonts w:cs="Arial"/>
          <w:b/>
          <w:caps/>
          <w:color w:val="000000" w:themeColor="text1"/>
          <w:szCs w:val="18"/>
        </w:rPr>
      </w:pPr>
      <w:r w:rsidRPr="00A0533D">
        <w:rPr>
          <w:rFonts w:cs="Arial"/>
          <w:b/>
          <w:caps/>
          <w:color w:val="000000" w:themeColor="text1"/>
          <w:szCs w:val="18"/>
        </w:rPr>
        <w:t>Роскачество проведет исследование рыбных консервов на пред</w:t>
      </w:r>
      <w:r>
        <w:rPr>
          <w:rFonts w:cs="Arial"/>
          <w:b/>
          <w:caps/>
          <w:color w:val="000000" w:themeColor="text1"/>
          <w:szCs w:val="18"/>
        </w:rPr>
        <w:t>мет возможного фальсификата</w:t>
      </w:r>
    </w:p>
    <w:p w:rsidR="00A0533D" w:rsidRPr="00A0533D" w:rsidRDefault="00A0533D" w:rsidP="00A0533D">
      <w:proofErr w:type="spellStart"/>
      <w:r w:rsidRPr="00A0533D">
        <w:t>Роскачество</w:t>
      </w:r>
      <w:proofErr w:type="spellEnd"/>
      <w:r w:rsidRPr="00A0533D">
        <w:t xml:space="preserve"> планирует провести глобальное исследование рыбных консервов, чтобы оценить, имеет ли место фальсификация данной продукции</w:t>
      </w:r>
      <w:r w:rsidR="00054BDF">
        <w:t>,</w:t>
      </w:r>
      <w:r w:rsidRPr="00A0533D">
        <w:t xml:space="preserve"> и насколько она масштабна, сообщил в интервью РИА Новости гла</w:t>
      </w:r>
      <w:r>
        <w:t xml:space="preserve">ва </w:t>
      </w:r>
      <w:proofErr w:type="spellStart"/>
      <w:r>
        <w:t>Роскачества</w:t>
      </w:r>
      <w:proofErr w:type="spellEnd"/>
      <w:r>
        <w:t xml:space="preserve"> Максим Протасов.</w:t>
      </w:r>
    </w:p>
    <w:p w:rsidR="00A0533D" w:rsidRPr="00A0533D" w:rsidRDefault="00A0533D" w:rsidP="00A0533D">
      <w:r w:rsidRPr="00A0533D">
        <w:t>"Мы постоянно занимаемся исследованиями данной категории продукции, и сейчас Минсельхоз России предложил нам исследова</w:t>
      </w:r>
      <w:r>
        <w:t xml:space="preserve">ть рыбные консервы из сайры. </w:t>
      </w:r>
      <w:r w:rsidRPr="00A0533D">
        <w:t>Продукция дальневосточных производителей также будет участвовать в лабораторных испытаниях", - сказал Протасов.</w:t>
      </w:r>
    </w:p>
    <w:p w:rsidR="00A0533D" w:rsidRPr="00A0533D" w:rsidRDefault="00A0533D" w:rsidP="00A0533D">
      <w:pPr>
        <w:rPr>
          <w:i/>
        </w:rPr>
      </w:pPr>
      <w:r w:rsidRPr="00A0533D">
        <w:t>Помимо этого, организация планирует провести исследование товаров категории "</w:t>
      </w:r>
      <w:proofErr w:type="spellStart"/>
      <w:r w:rsidRPr="00A0533D">
        <w:t>фреш</w:t>
      </w:r>
      <w:proofErr w:type="spellEnd"/>
      <w:r w:rsidRPr="00A0533D">
        <w:t xml:space="preserve">" (свежие скоропортящиеся продукты), спрос на покупку которых через интернет резко вырос на фоне пандемии </w:t>
      </w:r>
      <w:proofErr w:type="spellStart"/>
      <w:r w:rsidRPr="00A0533D">
        <w:t>коронавируса</w:t>
      </w:r>
      <w:proofErr w:type="spellEnd"/>
      <w:r w:rsidRPr="00A0533D">
        <w:t>. "При этом мы отмечаем серьезный рост поступающих жалоб на то, что при доставке не соблюдается температурный режим, по пути товары успевают испортиться", - указал Протасов.</w:t>
      </w:r>
      <w:r>
        <w:t xml:space="preserve"> </w:t>
      </w:r>
      <w:r w:rsidRPr="00A0533D">
        <w:rPr>
          <w:i/>
        </w:rPr>
        <w:t>РИА Новости</w:t>
      </w:r>
    </w:p>
    <w:p w:rsidR="00804146" w:rsidRPr="00D203D7" w:rsidRDefault="00B40B0F" w:rsidP="00804146">
      <w:pPr>
        <w:pStyle w:val="a9"/>
      </w:pPr>
      <w:hyperlink r:id="rId23" w:history="1">
        <w:r w:rsidR="00804146" w:rsidRPr="00D203D7">
          <w:t>В Хабаровском крае фермерам компенсируют до 90% затрат на мелиорацию</w:t>
        </w:r>
      </w:hyperlink>
    </w:p>
    <w:p w:rsidR="00804146" w:rsidRDefault="00804146" w:rsidP="00804146">
      <w:r>
        <w:t xml:space="preserve">Власти в Хабаровском крае компенсируют значительную часть затрат на мелиорацию фермерам. Об этом сообщил </w:t>
      </w:r>
      <w:proofErr w:type="spellStart"/>
      <w:r>
        <w:t>врио</w:t>
      </w:r>
      <w:proofErr w:type="spellEnd"/>
      <w:r>
        <w:t xml:space="preserve"> губернатора края Михаил Дегтярев во время прямой линии.</w:t>
      </w:r>
    </w:p>
    <w:p w:rsidR="00804146" w:rsidRPr="008B132A" w:rsidRDefault="00804146" w:rsidP="00804146">
      <w:pPr>
        <w:rPr>
          <w:i/>
        </w:rPr>
      </w:pPr>
      <w:r>
        <w:t xml:space="preserve">"Мы с </w:t>
      </w:r>
      <w:r w:rsidRPr="00D203D7">
        <w:rPr>
          <w:b/>
        </w:rPr>
        <w:t>Минсельхозом России</w:t>
      </w:r>
      <w:r>
        <w:t xml:space="preserve"> достигли договоренности, что начинаем ставить их (мелиоративные системы - прим. ТАСС) на учет, передавать </w:t>
      </w:r>
      <w:proofErr w:type="spellStart"/>
      <w:r>
        <w:t>сельхозтоваропроизводителям</w:t>
      </w:r>
      <w:proofErr w:type="spellEnd"/>
      <w:r>
        <w:t xml:space="preserve"> и до 90% компенсировать из федерального бюджета восстановительные работы. Вводить дополнительные площади, то есть отвоевывать их обратно у природы", - сказал Дегтярев. </w:t>
      </w:r>
      <w:r w:rsidRPr="008B132A">
        <w:rPr>
          <w:i/>
        </w:rPr>
        <w:t>ТАСС</w:t>
      </w:r>
    </w:p>
    <w:p w:rsidR="00654E99" w:rsidRPr="00584C95" w:rsidRDefault="00B40B0F" w:rsidP="00A0533D">
      <w:pPr>
        <w:pStyle w:val="a9"/>
      </w:pPr>
      <w:hyperlink r:id="rId24" w:history="1">
        <w:r w:rsidR="00654E99" w:rsidRPr="00584C95">
          <w:t>Россельхознадзор обнаружил в нектаринах из Узбекистана карантинный вирус</w:t>
        </w:r>
      </w:hyperlink>
    </w:p>
    <w:p w:rsidR="00C8396B" w:rsidRPr="00D203D7" w:rsidRDefault="00654E99" w:rsidP="00D203D7">
      <w:r>
        <w:t xml:space="preserve">Карантинный вирус бурой гнили выявили в нектаринах из Узбекистана специалисты </w:t>
      </w:r>
      <w:proofErr w:type="spellStart"/>
      <w:r w:rsidRPr="00584C95">
        <w:rPr>
          <w:b/>
        </w:rPr>
        <w:t>Россельхознадзора</w:t>
      </w:r>
      <w:proofErr w:type="spellEnd"/>
      <w:r>
        <w:t>. Об этом 13 сентября сообщает пресс-служба ведомства.</w:t>
      </w:r>
      <w:r w:rsidR="00DF10D0">
        <w:t xml:space="preserve"> Также отмечается, что до этого такой карантинный вирус не был выявлен </w:t>
      </w:r>
      <w:proofErr w:type="spellStart"/>
      <w:r w:rsidR="00DF10D0">
        <w:t>Россельхознадзором</w:t>
      </w:r>
      <w:proofErr w:type="spellEnd"/>
      <w:r w:rsidR="00DF10D0">
        <w:t xml:space="preserve"> в фруктах Узбекистана, в связи с чем ведомство попросило узбекскую сторону провести расследование, выяснить происхождение продукции и обеспечить поставки в РФ продукции, выращенной только в местах свободных от этого заболевания. </w:t>
      </w:r>
      <w:r w:rsidRPr="008B5EEB">
        <w:rPr>
          <w:i/>
        </w:rPr>
        <w:t xml:space="preserve">ИА </w:t>
      </w:r>
      <w:proofErr w:type="spellStart"/>
      <w:r w:rsidRPr="008B5EEB">
        <w:rPr>
          <w:i/>
        </w:rPr>
        <w:t>Regnum</w:t>
      </w:r>
      <w:proofErr w:type="spellEnd"/>
    </w:p>
    <w:p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:rsidR="00D203D7" w:rsidRPr="00D203D7" w:rsidRDefault="00B40B0F" w:rsidP="00D203D7">
      <w:pPr>
        <w:pStyle w:val="a9"/>
      </w:pPr>
      <w:hyperlink r:id="rId25" w:history="1">
        <w:r w:rsidR="00D203D7" w:rsidRPr="00D203D7">
          <w:t>Рубль впервые с 2016 года вошел в топ-20 популярных валют</w:t>
        </w:r>
      </w:hyperlink>
    </w:p>
    <w:p w:rsidR="00D203D7" w:rsidRDefault="00D203D7" w:rsidP="00D203D7">
      <w:r>
        <w:t xml:space="preserve">Доля рубля в международных расчетах составила 0,18% по итогам июля, следует из данных SWIFT. В первую тройку наиболее популярных валют вошли доллар, евро и фунт стерлингов </w:t>
      </w:r>
    </w:p>
    <w:p w:rsidR="00D203D7" w:rsidRPr="00976F60" w:rsidRDefault="00D203D7" w:rsidP="00D203D7">
      <w:pPr>
        <w:rPr>
          <w:i/>
        </w:rPr>
      </w:pPr>
      <w:r>
        <w:lastRenderedPageBreak/>
        <w:t xml:space="preserve">Рубль впервые с 2016 года вошел в число 20 самых популярных мировых валют, сообщают "РИА Новости" со ссылкой на данные межбанковской системы передачи информации о платежах SWIFT. По итогам июня его доля в международных расчетах составила 0,18%. </w:t>
      </w:r>
      <w:r w:rsidR="00DF10D0">
        <w:rPr>
          <w:i/>
        </w:rPr>
        <w:t xml:space="preserve">РБК </w:t>
      </w:r>
    </w:p>
    <w:p w:rsidR="00654E99" w:rsidRPr="00584C95" w:rsidRDefault="00B40B0F" w:rsidP="00654E99">
      <w:pPr>
        <w:pStyle w:val="a9"/>
      </w:pPr>
      <w:hyperlink r:id="rId26" w:history="1">
        <w:r w:rsidR="00654E99" w:rsidRPr="00584C95">
          <w:t>Минфин и Центробанк разработали стратегию развития финансового рынка до 2030 года</w:t>
        </w:r>
      </w:hyperlink>
    </w:p>
    <w:p w:rsidR="00654E99" w:rsidRDefault="00654E99" w:rsidP="00654E99">
      <w:r>
        <w:t>Минфин и Банк России разработали и представили на общественное обсуждение стратегию развития финансового рынка до 2030 года, целью которой является повышение конкурентоспособности, прозрачности и э</w:t>
      </w:r>
      <w:r w:rsidR="00054BDF">
        <w:t>ффективности финансовой политик</w:t>
      </w:r>
      <w:r>
        <w:t>и финансового рынка в целом, говорится в сообщении министерства.</w:t>
      </w:r>
    </w:p>
    <w:p w:rsidR="00C8396B" w:rsidRDefault="00654E99" w:rsidP="00BF4384">
      <w:r>
        <w:t xml:space="preserve">Основная часть документа посвящена развитию рынка капитала, страхованию, международной интеграции, содействию устойчивому развитию, защите прав потребителей финансовых услуг и финансовому просвещению. </w:t>
      </w:r>
      <w:r w:rsidRPr="005E28EF">
        <w:rPr>
          <w:i/>
        </w:rPr>
        <w:t>РИА Новости</w:t>
      </w:r>
      <w:bookmarkStart w:id="11" w:name="_GoBack"/>
      <w:bookmarkEnd w:id="10"/>
      <w:bookmarkEnd w:id="11"/>
    </w:p>
    <w:sectPr w:rsidR="00C8396B" w:rsidSect="005F3758">
      <w:headerReference w:type="default" r:id="rId27"/>
      <w:footerReference w:type="default" r:id="rId28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B0F" w:rsidRDefault="00B40B0F">
      <w:r>
        <w:separator/>
      </w:r>
    </w:p>
  </w:endnote>
  <w:endnote w:type="continuationSeparator" w:id="0">
    <w:p w:rsidR="00B40B0F" w:rsidRDefault="00B4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5615C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5615C3">
            <w:rPr>
              <w:rFonts w:cs="Arial"/>
              <w:color w:val="90989E"/>
              <w:sz w:val="16"/>
              <w:szCs w:val="16"/>
            </w:rPr>
            <w:t xml:space="preserve">14 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5615C3">
            <w:rPr>
              <w:rFonts w:cs="Arial"/>
              <w:color w:val="90989E"/>
              <w:sz w:val="16"/>
              <w:szCs w:val="16"/>
            </w:rPr>
            <w:t>сентября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F4384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9F5BD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5615C3">
            <w:rPr>
              <w:rFonts w:cs="Arial"/>
              <w:color w:val="90989E"/>
              <w:sz w:val="16"/>
              <w:szCs w:val="16"/>
            </w:rPr>
            <w:t xml:space="preserve">14 </w:t>
          </w:r>
          <w:r w:rsidR="005615C3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5615C3">
            <w:rPr>
              <w:rFonts w:cs="Arial"/>
              <w:color w:val="90989E"/>
              <w:sz w:val="16"/>
              <w:szCs w:val="16"/>
            </w:rPr>
            <w:t xml:space="preserve">сентября </w:t>
          </w:r>
          <w:r w:rsidR="003D7894">
            <w:rPr>
              <w:rFonts w:cs="Arial"/>
              <w:color w:val="90989E"/>
              <w:sz w:val="16"/>
              <w:szCs w:val="16"/>
            </w:rPr>
            <w:t>2021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F4384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B0F" w:rsidRDefault="00B40B0F">
      <w:r>
        <w:separator/>
      </w:r>
    </w:p>
  </w:footnote>
  <w:footnote w:type="continuationSeparator" w:id="0">
    <w:p w:rsidR="00B40B0F" w:rsidRDefault="00B40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03D7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8255" b="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0E39F946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03D7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8255" b="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4453C014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D7"/>
    <w:rsid w:val="0003491F"/>
    <w:rsid w:val="00054BDF"/>
    <w:rsid w:val="00066C93"/>
    <w:rsid w:val="000738F0"/>
    <w:rsid w:val="000B328E"/>
    <w:rsid w:val="000E1640"/>
    <w:rsid w:val="000F021C"/>
    <w:rsid w:val="000F7B30"/>
    <w:rsid w:val="00124C39"/>
    <w:rsid w:val="0014388A"/>
    <w:rsid w:val="00195925"/>
    <w:rsid w:val="001B3E0B"/>
    <w:rsid w:val="001B4725"/>
    <w:rsid w:val="00270257"/>
    <w:rsid w:val="00285996"/>
    <w:rsid w:val="002A78AC"/>
    <w:rsid w:val="002E5101"/>
    <w:rsid w:val="003058E2"/>
    <w:rsid w:val="00344142"/>
    <w:rsid w:val="003C3C67"/>
    <w:rsid w:val="003D7894"/>
    <w:rsid w:val="003E6221"/>
    <w:rsid w:val="00416061"/>
    <w:rsid w:val="004304C8"/>
    <w:rsid w:val="004B4840"/>
    <w:rsid w:val="005233A0"/>
    <w:rsid w:val="005240C2"/>
    <w:rsid w:val="00531BB8"/>
    <w:rsid w:val="0055239A"/>
    <w:rsid w:val="005615C3"/>
    <w:rsid w:val="005F3758"/>
    <w:rsid w:val="00604F1E"/>
    <w:rsid w:val="00654E99"/>
    <w:rsid w:val="006C13D8"/>
    <w:rsid w:val="006D1FA8"/>
    <w:rsid w:val="006E64AC"/>
    <w:rsid w:val="00745474"/>
    <w:rsid w:val="0074571A"/>
    <w:rsid w:val="00750476"/>
    <w:rsid w:val="007563F9"/>
    <w:rsid w:val="007606A2"/>
    <w:rsid w:val="007910D0"/>
    <w:rsid w:val="007A542D"/>
    <w:rsid w:val="007F0AB1"/>
    <w:rsid w:val="00804146"/>
    <w:rsid w:val="00833748"/>
    <w:rsid w:val="00842ECC"/>
    <w:rsid w:val="00880679"/>
    <w:rsid w:val="0088128A"/>
    <w:rsid w:val="008C5CCD"/>
    <w:rsid w:val="009309CC"/>
    <w:rsid w:val="00962E4A"/>
    <w:rsid w:val="0096407B"/>
    <w:rsid w:val="00971162"/>
    <w:rsid w:val="00985DA8"/>
    <w:rsid w:val="009B4B1F"/>
    <w:rsid w:val="009F5BD0"/>
    <w:rsid w:val="00A0533D"/>
    <w:rsid w:val="00A12D82"/>
    <w:rsid w:val="00AD6552"/>
    <w:rsid w:val="00AF68A2"/>
    <w:rsid w:val="00B40B0F"/>
    <w:rsid w:val="00B922A1"/>
    <w:rsid w:val="00BC3C26"/>
    <w:rsid w:val="00BC4068"/>
    <w:rsid w:val="00BF4384"/>
    <w:rsid w:val="00BF48EC"/>
    <w:rsid w:val="00C14B74"/>
    <w:rsid w:val="00C14EA4"/>
    <w:rsid w:val="00C710B6"/>
    <w:rsid w:val="00C8396B"/>
    <w:rsid w:val="00C87324"/>
    <w:rsid w:val="00C90FBF"/>
    <w:rsid w:val="00C9371D"/>
    <w:rsid w:val="00CC6F45"/>
    <w:rsid w:val="00CD2DDE"/>
    <w:rsid w:val="00CD5A45"/>
    <w:rsid w:val="00D203D7"/>
    <w:rsid w:val="00D52CCC"/>
    <w:rsid w:val="00D56A4D"/>
    <w:rsid w:val="00DB2D2E"/>
    <w:rsid w:val="00DE0D7B"/>
    <w:rsid w:val="00DF10D0"/>
    <w:rsid w:val="00E12208"/>
    <w:rsid w:val="00E15801"/>
    <w:rsid w:val="00E4368A"/>
    <w:rsid w:val="00EA7B65"/>
    <w:rsid w:val="00F03B85"/>
    <w:rsid w:val="00F1555A"/>
    <w:rsid w:val="00F41E23"/>
    <w:rsid w:val="00F4531D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2941D7-F34D-49B2-A35F-CD78A08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F4384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43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46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43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319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0037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379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218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616407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899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1083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8465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386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x-russia.ru/volga/pressrel/v-ufe-20-21-sentyabrya-sostoitsya-mezhdunarodnyy-onlayn-simpozium-pchelovodov" TargetMode="External"/><Relationship Id="rId13" Type="http://schemas.openxmlformats.org/officeDocument/2006/relationships/hyperlink" Target="https://tass.ru/ekonomika/12374393" TargetMode="External"/><Relationship Id="rId18" Type="http://schemas.openxmlformats.org/officeDocument/2006/relationships/hyperlink" Target="https://fedpress.ru/news/24/economy/2824536" TargetMode="External"/><Relationship Id="rId26" Type="http://schemas.openxmlformats.org/officeDocument/2006/relationships/hyperlink" Target="https://ria.ru/20210913/strategiya-174980536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sian.rt.com/russia/news/906272-minselhoz-podmoskove-sy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lknews.ru/index/strahovanie-zemlya.html" TargetMode="External"/><Relationship Id="rId17" Type="http://schemas.openxmlformats.org/officeDocument/2006/relationships/hyperlink" Target="https://otr-online.ru/programmy/segodnya-v-rossii/urozhay-otlichnyy-53105.html" TargetMode="External"/><Relationship Id="rId25" Type="http://schemas.openxmlformats.org/officeDocument/2006/relationships/hyperlink" Target="https://www.rbc.ru/finances/14/09/2021/614004d49a79470ca94e56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np.ru/economics/mayorov-v-zakonoproekt-o-semenovodstve-podgotovili-popravki.html" TargetMode="External"/><Relationship Id="rId20" Type="http://schemas.openxmlformats.org/officeDocument/2006/relationships/hyperlink" Target="https://tass.ru/ekonomika/1237292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regnum.ru/news/336861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np.ru/economics/rossiyskikh-ogurcov-i-pomidorov-na-prilavkakh-magazinov-stanet-bolshe.html" TargetMode="External"/><Relationship Id="rId23" Type="http://schemas.openxmlformats.org/officeDocument/2006/relationships/hyperlink" Target="https://tass.ru/ekonomika/12373013" TargetMode="External"/><Relationship Id="rId28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https://iz.ru/1221216/2021-09-13/rossiiskaia-vinodelnia-voshla-v-top-100-worlds-best-vineyar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vedomosti.ru/news/https-mcx-gov-ru-press-service-news-v-rossii-zagotovleno-23-mln-tonn-kormovykh-edinits-obemistykh-kormov.html" TargetMode="External"/><Relationship Id="rId14" Type="http://schemas.openxmlformats.org/officeDocument/2006/relationships/hyperlink" Target="https://kvedomosti.ru/news/https-mcx-gov-ru-press-service-news-pravitelstvo-rasshirilo-federalnuyu-nauchno-tekhnicheskuyu-programmu-razvitiya-selskogo-khozyaystva.html" TargetMode="External"/><Relationship Id="rId22" Type="http://schemas.openxmlformats.org/officeDocument/2006/relationships/hyperlink" Target="https://www.kommersant.ru/doc/4985791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sh\OneDrive\&#1056;&#1072;&#1073;&#1086;&#1095;&#1080;&#1081;%20&#1089;&#1090;&#1086;&#1083;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0840-D03D-4FC7-982A-005915EB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58</TotalTime>
  <Pages>6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Мешкова</dc:creator>
  <cp:keywords/>
  <dc:description/>
  <cp:lastModifiedBy>Иванов Владимир Владимирович</cp:lastModifiedBy>
  <cp:revision>15</cp:revision>
  <cp:lastPrinted>2021-09-14T06:20:00Z</cp:lastPrinted>
  <dcterms:created xsi:type="dcterms:W3CDTF">2021-09-14T05:05:00Z</dcterms:created>
  <dcterms:modified xsi:type="dcterms:W3CDTF">2021-09-14T06:21:00Z</dcterms:modified>
</cp:coreProperties>
</file>