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1E43D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1E43DE" w:rsidP="001E43DE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E64AC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F9326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F93264" w:rsidRPr="00E7161A" w:rsidRDefault="00B1181A" w:rsidP="00B1181A">
            <w:pPr>
              <w:pStyle w:val="a9"/>
            </w:pPr>
            <w:r>
              <w:t>15 ИЮЛЯ</w:t>
            </w:r>
          </w:p>
          <w:p w:rsidR="00B1181A" w:rsidRPr="00E7161A" w:rsidRDefault="00B1181A" w:rsidP="00F93264"/>
          <w:p w:rsidR="00C8396B" w:rsidRDefault="00F93264" w:rsidP="00D30973">
            <w:r w:rsidRPr="00E7161A">
              <w:t xml:space="preserve">МОСКВА. 14:00. Заседание Комитета Торгово-промышленной палаты РФ по развитию агропромышленного комплекса "Задачи увеличения российского производства и наращивания экспортного потенциала лекарственных ветеринарных препаратов в рамках обеспечения продовольственной безопасности РФ". </w:t>
            </w:r>
            <w:bookmarkEnd w:id="4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F93264" w:rsidRDefault="00A6464A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F93264" w:rsidRPr="00F93264" w:rsidRDefault="00CD5A77" w:rsidP="00F93264">
            <w:pPr>
              <w:pStyle w:val="a9"/>
            </w:pPr>
            <w:hyperlink r:id="rId8" w:history="1">
              <w:r w:rsidR="00F93264" w:rsidRPr="00F93264">
                <w:t>ДМИТРИЙ ПАТРУШЕВ ОЦЕНИЛ РАЗВИТИЕ АПК И СЕЛЬСКИХ ТЕРРИТОРИЙ УЛЬЯНОВСКОЙ ОБЛАСТИ</w:t>
              </w:r>
            </w:hyperlink>
          </w:p>
          <w:p w:rsidR="00F93264" w:rsidRDefault="00F93264" w:rsidP="00F93264">
            <w:r>
              <w:t xml:space="preserve">Работу агропромышленного комплекса Ульяновской области сегодня оценил Министр сельского хозяйства </w:t>
            </w:r>
            <w:r w:rsidRPr="00F93264">
              <w:rPr>
                <w:b/>
              </w:rPr>
              <w:t>Дмитрий Патрушев</w:t>
            </w:r>
            <w:r>
              <w:t xml:space="preserve"> в ходе поездки в регион. Глава ведомства провел рабочую встречу с </w:t>
            </w:r>
            <w:proofErr w:type="spellStart"/>
            <w:r>
              <w:t>врио</w:t>
            </w:r>
            <w:proofErr w:type="spellEnd"/>
            <w:r>
              <w:t xml:space="preserve"> губернатора Алексеем Русских, осмотрел ряд животноводческих предприятий, а также объекты в рамках госпрограммы "Комплексное развитие сельских территорий".</w:t>
            </w:r>
          </w:p>
          <w:p w:rsidR="00F93264" w:rsidRDefault="00F93264" w:rsidP="00F93264">
            <w:r>
              <w:t xml:space="preserve">На встрече с главой региона </w:t>
            </w:r>
            <w:r w:rsidRPr="00F93264">
              <w:rPr>
                <w:b/>
              </w:rPr>
              <w:t>Дмитрий Патрушев</w:t>
            </w:r>
            <w:r>
              <w:t xml:space="preserve"> отметил, что сельское хозяйство в области развивается достаточно динамично. Так, индекс сельхозпроизводства по итогам 2020 года составил 115,4%, что выше среднероссийского показателя. Рентабельность аграриев также превышает средний уровень по стране. </w:t>
            </w:r>
          </w:p>
          <w:p w:rsidR="00C8396B" w:rsidRPr="00D30973" w:rsidRDefault="00F93264" w:rsidP="00F93264">
            <w:r>
              <w:t xml:space="preserve">В прошлом году в области была зафиксирована максимальная урожайность зерновых. Это позволило собрать свыше 2 млн тонн зерна, что на 70% больше, чем годом ранее. В текущем году посевная площадь под яровыми была увеличена. В настоящий момент в регионе уже началась уборочная - собрано 100 тыс. тонн зерна. </w:t>
            </w:r>
            <w:r w:rsidR="005745E7">
              <w:rPr>
                <w:i/>
              </w:rPr>
              <w:t>ТАСС,</w:t>
            </w:r>
            <w:r w:rsidR="005745E7">
              <w:t xml:space="preserve"> </w:t>
            </w:r>
            <w:r w:rsidR="00B00260">
              <w:rPr>
                <w:i/>
              </w:rPr>
              <w:t xml:space="preserve">Крестьянские Ведомости, </w:t>
            </w:r>
            <w:r w:rsidR="005745E7" w:rsidRPr="005745E7">
              <w:rPr>
                <w:i/>
              </w:rPr>
              <w:t>REGNUM</w:t>
            </w:r>
            <w:r w:rsidR="005745E7">
              <w:rPr>
                <w:i/>
              </w:rPr>
              <w:t>,</w:t>
            </w:r>
            <w:r w:rsidR="005745E7">
              <w:t xml:space="preserve"> </w:t>
            </w:r>
            <w:proofErr w:type="spellStart"/>
            <w:r w:rsidR="00343BFD" w:rsidRPr="00343BFD">
              <w:rPr>
                <w:i/>
              </w:rPr>
              <w:t>Светич</w:t>
            </w:r>
            <w:proofErr w:type="spellEnd"/>
            <w:r w:rsidR="00343BFD" w:rsidRPr="00343BFD">
              <w:rPr>
                <w:i/>
              </w:rPr>
              <w:t>, Фермер</w:t>
            </w:r>
            <w:r w:rsidR="00343BFD">
              <w:t xml:space="preserve">, </w:t>
            </w:r>
            <w:proofErr w:type="spellStart"/>
            <w:r w:rsidR="005745E7" w:rsidRPr="005745E7">
              <w:rPr>
                <w:i/>
              </w:rPr>
              <w:t>Ульяновск.Экспресс</w:t>
            </w:r>
            <w:proofErr w:type="spellEnd"/>
            <w:r w:rsidR="005745E7">
              <w:rPr>
                <w:i/>
              </w:rPr>
              <w:t>,</w:t>
            </w:r>
            <w:r w:rsidR="005745E7">
              <w:t xml:space="preserve"> </w:t>
            </w:r>
            <w:r w:rsidR="005745E7" w:rsidRPr="005745E7">
              <w:rPr>
                <w:i/>
              </w:rPr>
              <w:t>Ульяновск онлайн</w:t>
            </w:r>
            <w:r w:rsidR="005745E7">
              <w:rPr>
                <w:i/>
              </w:rPr>
              <w:t xml:space="preserve">, </w:t>
            </w:r>
            <w:proofErr w:type="spellStart"/>
            <w:r w:rsidR="005745E7" w:rsidRPr="005745E7">
              <w:rPr>
                <w:i/>
              </w:rPr>
              <w:t>Ulpressa</w:t>
            </w:r>
            <w:proofErr w:type="spellEnd"/>
            <w:r w:rsidR="005745E7">
              <w:rPr>
                <w:i/>
              </w:rPr>
              <w:t xml:space="preserve">, </w:t>
            </w:r>
            <w:r w:rsidR="005745E7" w:rsidRPr="005745E7">
              <w:rPr>
                <w:i/>
              </w:rPr>
              <w:t>Ульяновская правда</w:t>
            </w:r>
            <w:r w:rsidR="005745E7">
              <w:rPr>
                <w:i/>
              </w:rPr>
              <w:t>,</w:t>
            </w:r>
            <w:r w:rsidR="005745E7">
              <w:t xml:space="preserve"> </w:t>
            </w:r>
            <w:r w:rsidR="005745E7" w:rsidRPr="005745E7">
              <w:rPr>
                <w:i/>
              </w:rPr>
              <w:t>Репортер 73</w:t>
            </w:r>
            <w:r w:rsidR="005745E7">
              <w:rPr>
                <w:i/>
              </w:rPr>
              <w:t>,</w:t>
            </w:r>
            <w:r w:rsidR="005745E7">
              <w:t xml:space="preserve"> </w:t>
            </w:r>
            <w:r w:rsidR="005745E7" w:rsidRPr="005745E7">
              <w:rPr>
                <w:i/>
              </w:rPr>
              <w:t>Первый ульяновский портал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343BFD" w:rsidRDefault="00343BFD" w:rsidP="00343BFD">
      <w:pPr>
        <w:pStyle w:val="a9"/>
        <w:spacing w:before="0"/>
      </w:pPr>
      <w:bookmarkStart w:id="8" w:name="SEC_3"/>
      <w:r>
        <w:lastRenderedPageBreak/>
        <w:t>В Минсельхозе обсудили развитие мелиоративного комплекса Мордовии</w:t>
      </w:r>
    </w:p>
    <w:p w:rsidR="00343BFD" w:rsidRPr="00343BFD" w:rsidRDefault="00343BFD" w:rsidP="00343BFD">
      <w:r w:rsidRPr="00343BFD">
        <w:t xml:space="preserve">Вопросы развития мелиоративных систем и проведение уборочной кампании в Республике Мордовия обсудили в рамках рабочей встречи первый заместитель министра сельского хозяйства РФ </w:t>
      </w:r>
      <w:proofErr w:type="spellStart"/>
      <w:r w:rsidRPr="00343BFD">
        <w:rPr>
          <w:b/>
        </w:rPr>
        <w:t>Джамбулат</w:t>
      </w:r>
      <w:proofErr w:type="spellEnd"/>
      <w:r w:rsidRPr="00343BFD">
        <w:rPr>
          <w:b/>
        </w:rPr>
        <w:t xml:space="preserve"> </w:t>
      </w:r>
      <w:proofErr w:type="spellStart"/>
      <w:r w:rsidRPr="00343BFD">
        <w:rPr>
          <w:b/>
        </w:rPr>
        <w:t>Хатуов</w:t>
      </w:r>
      <w:proofErr w:type="spellEnd"/>
      <w:r w:rsidRPr="00343BFD">
        <w:t xml:space="preserve"> и временно исполняющий обязанно</w:t>
      </w:r>
      <w:r>
        <w:t xml:space="preserve">сти главы региона Артём </w:t>
      </w:r>
      <w:proofErr w:type="spellStart"/>
      <w:r>
        <w:t>Здунов</w:t>
      </w:r>
      <w:proofErr w:type="spellEnd"/>
      <w:r>
        <w:t>.</w:t>
      </w:r>
    </w:p>
    <w:p w:rsidR="00343BFD" w:rsidRPr="00343BFD" w:rsidRDefault="00343BFD" w:rsidP="00343BFD">
      <w:r w:rsidRPr="00343BFD">
        <w:t>В начале недели в республике стартовали уборочные работы. На текущую дату обмолочено 5,2 тыс. га зерновых и зернобобовых культур, намолочено 14,4 тыс. тонн. В текущем году посевная площадь яровых культур в регионе составила 478,7 тыс. га, что на 26 тыс. га больше, чем</w:t>
      </w:r>
      <w:r>
        <w:t xml:space="preserve"> в прошлом году.</w:t>
      </w:r>
    </w:p>
    <w:p w:rsidR="00343BFD" w:rsidRPr="00343BFD" w:rsidRDefault="00343BFD" w:rsidP="00343BFD">
      <w:r w:rsidRPr="00343BFD">
        <w:t>Особое внимание в ходе встречи было уделено развитию мелиоративного комплекса. В настоящее время в регионе отмечается засушливая погода, при этом для сохранения урожая, по словам первого замминистра, необходимо своевременное проведение комплекса мелиоративных мероприятий. Этому способствуют меры господдержки, в том числе в рамках федеральной адр</w:t>
      </w:r>
      <w:r>
        <w:t>есной инвестиционной программы.</w:t>
      </w:r>
    </w:p>
    <w:p w:rsidR="00343BFD" w:rsidRPr="00343BFD" w:rsidRDefault="00343BFD" w:rsidP="00343BFD">
      <w:r w:rsidRPr="00343BFD">
        <w:t xml:space="preserve">Так, в текущем году ее реализация в Мордовии позволит реконструировать 4 объекта на сумму 82 млн рублей. </w:t>
      </w:r>
      <w:proofErr w:type="spellStart"/>
      <w:r w:rsidRPr="00343BFD">
        <w:rPr>
          <w:i/>
        </w:rPr>
        <w:t>Светич</w:t>
      </w:r>
      <w:proofErr w:type="spellEnd"/>
    </w:p>
    <w:p w:rsidR="00D30973" w:rsidRPr="00F93264" w:rsidRDefault="00D30973" w:rsidP="00343BFD">
      <w:pPr>
        <w:pStyle w:val="a9"/>
      </w:pPr>
      <w:r w:rsidRPr="00F93264">
        <w:t>Выдача субсидий на транспортировку продукции АПК приостановлена</w:t>
      </w:r>
    </w:p>
    <w:p w:rsidR="00D30973" w:rsidRDefault="00D30973" w:rsidP="00D30973">
      <w:r w:rsidRPr="00F93264">
        <w:rPr>
          <w:b/>
        </w:rPr>
        <w:t>Минсельхоз</w:t>
      </w:r>
      <w:r>
        <w:t xml:space="preserve"> 2 июля распределил все выданные на этот год субсидии на перевозку продукции АПК, в том числе на экспорт. Об этом говорится в письме директора департамента регулирования рынков АПК </w:t>
      </w:r>
      <w:r w:rsidRPr="00F93264">
        <w:rPr>
          <w:b/>
        </w:rPr>
        <w:t>Максима Титова</w:t>
      </w:r>
      <w:r>
        <w:t xml:space="preserve"> в отраслевые союзы. Копия обращения есть у "Ъ". Всего было удовлетворено 611 заявок на 3 млрд руб. Заявки, поступившие после 2 июля, "имеют высокую вероятность получения отказа" по причине недостаточности лимитов бюджетных обязательств, пишет </w:t>
      </w:r>
      <w:r w:rsidRPr="00F93264">
        <w:rPr>
          <w:b/>
        </w:rPr>
        <w:t>господин Титов</w:t>
      </w:r>
      <w:r>
        <w:t xml:space="preserve">. Программа касается перевозки из регионов Центрального, Северо-Западного, Южного, </w:t>
      </w:r>
      <w:proofErr w:type="gramStart"/>
      <w:r>
        <w:t>Северо-Кавказского</w:t>
      </w:r>
      <w:proofErr w:type="gramEnd"/>
      <w:r>
        <w:t>, Приволжского федеральных округов, Алтайского края, Новосибирской и Челябинской областей.</w:t>
      </w:r>
    </w:p>
    <w:p w:rsidR="00D30973" w:rsidRPr="00D30973" w:rsidRDefault="00D30973" w:rsidP="00D30973">
      <w:r>
        <w:t xml:space="preserve">В </w:t>
      </w:r>
      <w:r w:rsidRPr="00F93264">
        <w:rPr>
          <w:b/>
        </w:rPr>
        <w:t>Минсельхозе</w:t>
      </w:r>
      <w:r>
        <w:t xml:space="preserve"> заявили "Ъ", что в 2020 году по программе было освоено 4,1 млрд руб., на этот год планировалось выделить 6 млрд руб., но 50% средств перенаправили на меры по стабилизации цен на продукты на внутреннем рынке. </w:t>
      </w:r>
      <w:r w:rsidRPr="00F4384C">
        <w:t xml:space="preserve">В </w:t>
      </w:r>
      <w:r w:rsidRPr="00F4384C">
        <w:rPr>
          <w:b/>
        </w:rPr>
        <w:t xml:space="preserve">Минсельхозе </w:t>
      </w:r>
      <w:r w:rsidRPr="00F4384C">
        <w:t xml:space="preserve">заявили, что подготовили предложения о перераспределении средств бюджета РФ между мероприятиями федерального проекта «Экспорт продукции АПК», для увеличения лимитов на транспортные субсидии. Но решение требует поддержки Минфина. </w:t>
      </w:r>
      <w:r>
        <w:rPr>
          <w:i/>
        </w:rPr>
        <w:t>Коммерсантъ</w:t>
      </w:r>
    </w:p>
    <w:p w:rsidR="009B7C48" w:rsidRPr="004E5E65" w:rsidRDefault="00CD5A77" w:rsidP="003E6521">
      <w:pPr>
        <w:pStyle w:val="a9"/>
      </w:pPr>
      <w:hyperlink r:id="rId11" w:history="1">
        <w:r w:rsidR="009B7C48" w:rsidRPr="004E5E65">
          <w:t>ЭКСПОРТ ПРОДУКЦИИ АПК ИЗ РОССИИ С НАЧАЛА ГОДА ВЫРОС НА 18%</w:t>
        </w:r>
      </w:hyperlink>
    </w:p>
    <w:p w:rsidR="009B7C48" w:rsidRDefault="009B7C48" w:rsidP="009B7C48">
      <w:r>
        <w:t>Темпы роста экспорта агропромышленной продукции из России ускорились, по данным на 11 июля 2021 года, экспорт вырос на 18% против 17% неделей ранее. Об этом говорится в сообщении федерального центра "</w:t>
      </w:r>
      <w:proofErr w:type="spellStart"/>
      <w:r>
        <w:t>Агроэкспорт</w:t>
      </w:r>
      <w:proofErr w:type="spellEnd"/>
      <w:r>
        <w:t xml:space="preserve">" при </w:t>
      </w:r>
      <w:r w:rsidRPr="004E5E65">
        <w:rPr>
          <w:b/>
        </w:rPr>
        <w:t>Минсельхозе РФ</w:t>
      </w:r>
      <w:r>
        <w:t>.</w:t>
      </w:r>
    </w:p>
    <w:p w:rsidR="009B7C48" w:rsidRPr="009B7C48" w:rsidRDefault="009B7C48" w:rsidP="009B7C48">
      <w:r>
        <w:t xml:space="preserve">Всего с начала года из России экспортировано продукции АПК на общую сумму $15,576 млрд. </w:t>
      </w:r>
      <w:r w:rsidRPr="004D7A07">
        <w:rPr>
          <w:i/>
        </w:rPr>
        <w:t>ТАСС, Крестьян</w:t>
      </w:r>
      <w:r>
        <w:rPr>
          <w:i/>
        </w:rPr>
        <w:t xml:space="preserve">ские Ведомости, </w:t>
      </w:r>
      <w:r w:rsidRPr="004D7A07">
        <w:rPr>
          <w:i/>
        </w:rPr>
        <w:t>MilkNews.ru</w:t>
      </w:r>
      <w:r>
        <w:t xml:space="preserve">, </w:t>
      </w:r>
      <w:r w:rsidRPr="004D7A07">
        <w:rPr>
          <w:i/>
        </w:rPr>
        <w:t>ПРАЙМ</w:t>
      </w:r>
    </w:p>
    <w:p w:rsidR="00F93264" w:rsidRDefault="00F62502" w:rsidP="008625B5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794B7C" w:rsidRDefault="00794B7C" w:rsidP="00F93264"/>
    <w:p w:rsidR="00794B7C" w:rsidRDefault="00794B7C" w:rsidP="00794B7C">
      <w:r w:rsidRPr="00794B7C">
        <w:rPr>
          <w:rFonts w:cs="Arial"/>
          <w:b/>
          <w:caps/>
          <w:color w:val="000000" w:themeColor="text1"/>
          <w:szCs w:val="18"/>
        </w:rPr>
        <w:t>Совет ЕЭК согласовал проект создания рынка</w:t>
      </w:r>
      <w:r>
        <w:rPr>
          <w:rFonts w:cs="Arial"/>
          <w:b/>
          <w:caps/>
          <w:color w:val="000000" w:themeColor="text1"/>
          <w:szCs w:val="18"/>
        </w:rPr>
        <w:t xml:space="preserve"> органической продукции в ЕАЭС</w:t>
      </w:r>
    </w:p>
    <w:p w:rsidR="00794B7C" w:rsidRDefault="00794B7C" w:rsidP="00794B7C">
      <w:r>
        <w:t>Совет Евразийской экономической комиссии (ЕЭК) на заседании в среду согласовали проект "дорожной карты" по формированию общего рынка органической сельскохозяйственной продукции на территории Евразийского экономического союза (ЕАЭС).</w:t>
      </w:r>
    </w:p>
    <w:p w:rsidR="00794B7C" w:rsidRDefault="00794B7C" w:rsidP="00794B7C">
      <w:r>
        <w:t>Документ планируется одобрить на Евразийской межправительственном совете в августе 2021 года, говорится в сообщении Минэкономразвития РФ.</w:t>
      </w:r>
    </w:p>
    <w:p w:rsidR="00794B7C" w:rsidRDefault="00794B7C" w:rsidP="00794B7C">
      <w:pPr>
        <w:rPr>
          <w:i/>
        </w:rPr>
      </w:pPr>
      <w:r>
        <w:t xml:space="preserve">В России закон об органическом производстве вступил в силу с 1 января 2020 года. В настоящее время Минсельхоз работает над созданием стратегии органического производства, заявлял в мае представитель ведомства. </w:t>
      </w:r>
      <w:r w:rsidRPr="00794B7C">
        <w:rPr>
          <w:i/>
        </w:rPr>
        <w:t>Интерфакс</w:t>
      </w:r>
    </w:p>
    <w:p w:rsidR="008C68AD" w:rsidRPr="008C68AD" w:rsidRDefault="008C68AD" w:rsidP="00794B7C">
      <w:pPr>
        <w:rPr>
          <w:rFonts w:cs="Arial"/>
          <w:b/>
          <w:caps/>
          <w:color w:val="000000" w:themeColor="text1"/>
          <w:szCs w:val="18"/>
        </w:rPr>
      </w:pPr>
    </w:p>
    <w:p w:rsidR="008C68AD" w:rsidRPr="008C68AD" w:rsidRDefault="008C68AD" w:rsidP="008C68AD">
      <w:pPr>
        <w:rPr>
          <w:rFonts w:cs="Arial"/>
          <w:b/>
          <w:caps/>
          <w:color w:val="000000" w:themeColor="text1"/>
          <w:szCs w:val="18"/>
        </w:rPr>
      </w:pPr>
      <w:r w:rsidRPr="008C68AD">
        <w:rPr>
          <w:rFonts w:cs="Arial"/>
          <w:b/>
          <w:caps/>
          <w:color w:val="000000" w:themeColor="text1"/>
          <w:szCs w:val="18"/>
        </w:rPr>
        <w:t>Минпромторг не фиксирует дефицита</w:t>
      </w:r>
      <w:r>
        <w:rPr>
          <w:rFonts w:cs="Arial"/>
          <w:b/>
          <w:caps/>
          <w:color w:val="000000" w:themeColor="text1"/>
          <w:szCs w:val="18"/>
        </w:rPr>
        <w:t xml:space="preserve"> и подорожания соли в магазинах</w:t>
      </w:r>
      <w:r>
        <w:t xml:space="preserve">   </w:t>
      </w:r>
    </w:p>
    <w:p w:rsidR="008C68AD" w:rsidRDefault="008C68AD" w:rsidP="008C68AD">
      <w:proofErr w:type="spellStart"/>
      <w:r>
        <w:t>Минпромторг</w:t>
      </w:r>
      <w:proofErr w:type="spellEnd"/>
      <w:r>
        <w:t xml:space="preserve"> считает, что цены на соль остаются стабильными. Ведомство не наблюдает ее дефицита в магазинах. </w:t>
      </w:r>
    </w:p>
    <w:p w:rsidR="008C68AD" w:rsidRDefault="008C68AD" w:rsidP="008C68AD">
      <w:proofErr w:type="spellStart"/>
      <w:r>
        <w:t>Минпромторг</w:t>
      </w:r>
      <w:proofErr w:type="spellEnd"/>
      <w:r>
        <w:t xml:space="preserve"> сообщил, что пока нехватка полувагонов не привела к колебанию цен. В первой половине июля цена на соль составляла 14 руб. за 1 кг — это на 0,9% больше, чем на начало 2021 года. «Российские вагоностроители могут обеспечить поставки вагонов в необходимом объеме при своевременном размещении заказов</w:t>
      </w:r>
      <w:proofErr w:type="gramStart"/>
      <w:r>
        <w:t>»,—</w:t>
      </w:r>
      <w:proofErr w:type="gramEnd"/>
      <w:r>
        <w:t xml:space="preserve"> утверждают в </w:t>
      </w:r>
      <w:proofErr w:type="spellStart"/>
      <w:r>
        <w:t>Минпромторге</w:t>
      </w:r>
      <w:proofErr w:type="spellEnd"/>
      <w:r>
        <w:t xml:space="preserve">. При этом ведомство отмечает, что вопрос взаимоотношений между операторами железнодорожного транспорта и грузоотправителями находится в компетенции Минтранса. </w:t>
      </w:r>
      <w:proofErr w:type="spellStart"/>
      <w:r>
        <w:t>Минпромторг</w:t>
      </w:r>
      <w:proofErr w:type="spellEnd"/>
      <w:r>
        <w:t xml:space="preserve"> находится в рабочем контакте с торговыми сетями, отраслевыми ассоциациями и союзами производителей. </w:t>
      </w:r>
      <w:r w:rsidRPr="008C68AD">
        <w:rPr>
          <w:i/>
        </w:rPr>
        <w:t>Коммерсантъ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F93264" w:rsidRPr="00F93264" w:rsidRDefault="00CD5A77" w:rsidP="00F93264">
      <w:pPr>
        <w:pStyle w:val="a9"/>
      </w:pPr>
      <w:hyperlink r:id="rId12" w:history="1">
        <w:r w:rsidR="00F93264" w:rsidRPr="00F93264">
          <w:t>РОСРЫБОЛОВСТВО РАСПРЕДЕЛИТ ДОЛИ КВОТ ДОБЫЧИ КОЛЮЧЕГО КРАБА НА ДАЛЬНЕМ ВОСТОКЕ</w:t>
        </w:r>
      </w:hyperlink>
    </w:p>
    <w:p w:rsidR="00F93264" w:rsidRDefault="00F93264" w:rsidP="00F93264">
      <w:proofErr w:type="spellStart"/>
      <w:r w:rsidRPr="00F93264">
        <w:rPr>
          <w:b/>
        </w:rPr>
        <w:t>Росрыболовство</w:t>
      </w:r>
      <w:proofErr w:type="spellEnd"/>
      <w:r>
        <w:t xml:space="preserve"> в июле-августе 2021 года распределит доли квот добычи колючего краба на Дальнем Востоке, говорится в сообщении ведомства.</w:t>
      </w:r>
    </w:p>
    <w:p w:rsidR="00F93264" w:rsidRDefault="00F93264" w:rsidP="00F93264">
      <w:r>
        <w:t>"Заявки о закреплении доли квоты ведомство принимает с 26 июля по 13 августа 2021 года включительно", - отмечается в сообщении.</w:t>
      </w:r>
    </w:p>
    <w:p w:rsidR="00F93264" w:rsidRPr="0090075A" w:rsidRDefault="00F93264" w:rsidP="00F93264">
      <w:pPr>
        <w:rPr>
          <w:i/>
        </w:rPr>
      </w:pPr>
      <w:r>
        <w:t>Как пояснили в ведомстве, распределение долей связано с тем, что с 2021 года колючий краб в Северо-</w:t>
      </w:r>
      <w:proofErr w:type="spellStart"/>
      <w:r>
        <w:t>Охотоморской</w:t>
      </w:r>
      <w:proofErr w:type="spellEnd"/>
      <w:r>
        <w:t xml:space="preserve"> </w:t>
      </w:r>
      <w:proofErr w:type="spellStart"/>
      <w:r>
        <w:t>подзоне</w:t>
      </w:r>
      <w:proofErr w:type="spellEnd"/>
      <w:r>
        <w:t xml:space="preserve"> включен в перечень видов водных биоресурсов, в отношении которых устанавливается общий допустимый улов (ОДУ). Приказом </w:t>
      </w:r>
      <w:proofErr w:type="spellStart"/>
      <w:r w:rsidRPr="00F93264">
        <w:rPr>
          <w:b/>
        </w:rPr>
        <w:t>Росрыболовства</w:t>
      </w:r>
      <w:proofErr w:type="spellEnd"/>
      <w:r>
        <w:t xml:space="preserve"> от 3 декабря 2020 года для осуществления промышленного рыболовства в </w:t>
      </w:r>
      <w:r>
        <w:lastRenderedPageBreak/>
        <w:t>Северо-</w:t>
      </w:r>
      <w:proofErr w:type="spellStart"/>
      <w:r>
        <w:t>Охотоморской</w:t>
      </w:r>
      <w:proofErr w:type="spellEnd"/>
      <w:r>
        <w:t xml:space="preserve"> </w:t>
      </w:r>
      <w:proofErr w:type="spellStart"/>
      <w:r>
        <w:t>подзоне</w:t>
      </w:r>
      <w:proofErr w:type="spellEnd"/>
      <w:r>
        <w:t xml:space="preserve"> выделено 123,15 тонны краба колючего. Общий вылов всех видов крабов российскими рыбаками в 2020 году превысил 103 тыс. тонн, из которых около 80 тыс. тонн пришлось на Дальний Восток. </w:t>
      </w:r>
      <w:r w:rsidRPr="0090075A">
        <w:rPr>
          <w:i/>
        </w:rPr>
        <w:t>ТАСС, Крестьянские Ведомост</w:t>
      </w:r>
      <w:r w:rsidR="00085DA6">
        <w:rPr>
          <w:i/>
        </w:rPr>
        <w:t xml:space="preserve">и </w:t>
      </w:r>
    </w:p>
    <w:p w:rsidR="00031FAD" w:rsidRPr="00F93264" w:rsidRDefault="00CD5A77" w:rsidP="00031FAD">
      <w:pPr>
        <w:pStyle w:val="a9"/>
      </w:pPr>
      <w:hyperlink r:id="rId13" w:history="1">
        <w:r w:rsidR="00031FAD" w:rsidRPr="00F93264">
          <w:t>РОССЕЛЬХОЗНАДЗОР ЗАПРЕТИЛ ВВОЗИТЬ ИЗ КНР В ПРИМОРЬЕ БОЛЕЕ 110 ТОНН ЗАРАЖЕННЫХ ОВОЩЕЙ</w:t>
        </w:r>
      </w:hyperlink>
    </w:p>
    <w:p w:rsidR="00031FAD" w:rsidRDefault="00031FAD" w:rsidP="00031FAD">
      <w:r>
        <w:t xml:space="preserve">Сотрудники </w:t>
      </w:r>
      <w:proofErr w:type="spellStart"/>
      <w:r w:rsidRPr="00F93264">
        <w:rPr>
          <w:b/>
        </w:rPr>
        <w:t>Россельхознадзора</w:t>
      </w:r>
      <w:proofErr w:type="spellEnd"/>
      <w:r>
        <w:t xml:space="preserve"> предотвратили ввоз в Приморье из Китая трех партий томатов и картофеля, в которых выявлены вредные карантинные объекты.</w:t>
      </w:r>
    </w:p>
    <w:p w:rsidR="00031FAD" w:rsidRPr="0090075A" w:rsidRDefault="00031FAD" w:rsidP="00031FAD">
      <w:pPr>
        <w:rPr>
          <w:i/>
        </w:rPr>
      </w:pPr>
      <w:r>
        <w:t>Проведенные испытательной лабораторией Приморского филиала ФГБУ "Всероссийский центр карантина растений" исследования показали, что в партии картофеля выявлен карантинный для ЕАЭС объект - бурая гниль картофеля (</w:t>
      </w:r>
      <w:proofErr w:type="spellStart"/>
      <w:r>
        <w:t>Ralstonia</w:t>
      </w:r>
      <w:proofErr w:type="spellEnd"/>
      <w:r>
        <w:t xml:space="preserve"> </w:t>
      </w:r>
      <w:proofErr w:type="spellStart"/>
      <w:r>
        <w:t>solanacearum</w:t>
      </w:r>
      <w:proofErr w:type="spellEnd"/>
      <w:r>
        <w:t xml:space="preserve"> (</w:t>
      </w:r>
      <w:proofErr w:type="spellStart"/>
      <w:r>
        <w:t>Smith</w:t>
      </w:r>
      <w:proofErr w:type="spellEnd"/>
      <w:r>
        <w:t xml:space="preserve">) </w:t>
      </w:r>
      <w:proofErr w:type="spellStart"/>
      <w:r>
        <w:t>Yabuuchi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. </w:t>
      </w:r>
      <w:proofErr w:type="spellStart"/>
      <w:r>
        <w:t>al</w:t>
      </w:r>
      <w:proofErr w:type="spellEnd"/>
      <w:r>
        <w:t xml:space="preserve">.). </w:t>
      </w:r>
      <w:r>
        <w:rPr>
          <w:i/>
        </w:rPr>
        <w:t>Интерфакс</w:t>
      </w:r>
    </w:p>
    <w:p w:rsidR="00CC68F4" w:rsidRPr="00F93264" w:rsidRDefault="00CD5A77" w:rsidP="00CC68F4">
      <w:pPr>
        <w:pStyle w:val="a9"/>
      </w:pPr>
      <w:hyperlink r:id="rId14" w:history="1">
        <w:r w:rsidR="00CC68F4" w:rsidRPr="00F93264">
          <w:t>В РОССИИ ПОДЕШЕВЕЛИ ФРУКТЫ И ОВОЩИ</w:t>
        </w:r>
      </w:hyperlink>
    </w:p>
    <w:p w:rsidR="00CC68F4" w:rsidRDefault="00CC68F4" w:rsidP="00CC68F4">
      <w:r>
        <w:t>Цены на овощи и фрукты в России с начала июля снизились на 2,32%. Об этом сообщает РИА "Новости" со ссылкой на обзор Минэкономразвития РФ "О текущей ценовой ситуации".</w:t>
      </w:r>
    </w:p>
    <w:p w:rsidR="00CC68F4" w:rsidRDefault="00CC68F4" w:rsidP="00CC68F4">
      <w:r>
        <w:t xml:space="preserve">В отчете говорится, что на неделе с 29 июня по 5 июля </w:t>
      </w:r>
      <w:proofErr w:type="spellStart"/>
      <w:r>
        <w:t>плодовоощная</w:t>
      </w:r>
      <w:proofErr w:type="spellEnd"/>
      <w:r>
        <w:t xml:space="preserve"> продукция подешевела на 1,39%, в период с 6 по 12 июля - на 1,34%.</w:t>
      </w:r>
    </w:p>
    <w:p w:rsidR="00CC68F4" w:rsidRDefault="00CC68F4" w:rsidP="00CC68F4">
      <w:r>
        <w:t>Однако на 12 июля с начала текущего года рост цен на плодоовощную продукцию составил 13,05%.</w:t>
      </w:r>
    </w:p>
    <w:p w:rsidR="00CC68F4" w:rsidRDefault="00CC68F4" w:rsidP="00CC68F4">
      <w:r>
        <w:t>Как передает агентство со ссылкой на данные Росстата, стоимость картофеля в период с 6 по 12 июля уменьшилась на 5,4%, помидоров - на 4,8%, огурцов - на 4,5%, репчатого лука - на 2,4%. В то же время белокочанная капуста подорожала на 4,2%, морковь - на 1,9%, яблоки - на 0,2%.</w:t>
      </w:r>
    </w:p>
    <w:p w:rsidR="00CC68F4" w:rsidRPr="006F66CE" w:rsidRDefault="00CC68F4" w:rsidP="00CC68F4">
      <w:pPr>
        <w:rPr>
          <w:i/>
        </w:rPr>
      </w:pPr>
      <w:r>
        <w:t xml:space="preserve">Ранее в </w:t>
      </w:r>
      <w:r w:rsidRPr="00F93264">
        <w:rPr>
          <w:b/>
        </w:rPr>
        <w:t>Минсельхозе России</w:t>
      </w:r>
      <w:r>
        <w:t xml:space="preserve"> заявили, что рост цен на продукты в стране в 2021 году останется в рамках инфляции. </w:t>
      </w:r>
      <w:proofErr w:type="spellStart"/>
      <w:r w:rsidRPr="006F66CE">
        <w:rPr>
          <w:i/>
        </w:rPr>
        <w:t>Газета.Ru</w:t>
      </w:r>
      <w:proofErr w:type="spellEnd"/>
    </w:p>
    <w:p w:rsidR="00CC68F4" w:rsidRPr="00F93264" w:rsidRDefault="00CD5A77" w:rsidP="00CC68F4">
      <w:pPr>
        <w:pStyle w:val="a9"/>
      </w:pPr>
      <w:hyperlink r:id="rId15" w:history="1">
        <w:r w:rsidR="00CC68F4" w:rsidRPr="00F93264">
          <w:t>РОССИЯНЕ РАСКРЫЛИ, СКОЛЬКО ТРАТЯТ НА ЕДУ КАЖДЫЙ МЕСЯЦ</w:t>
        </w:r>
      </w:hyperlink>
    </w:p>
    <w:p w:rsidR="00CC68F4" w:rsidRDefault="00CC68F4" w:rsidP="00CC68F4">
      <w:r>
        <w:t>Более 60% россиян тратят на продукты около половины своего ежемесячного дохода, при этом лишь каждый одиннадцатый гражданин "проедает" пятую часть своего бюджета, говорится в исследовании аналитического центра Университета "Синергия", которое имеется в распоряжении РИА Новости.</w:t>
      </w:r>
    </w:p>
    <w:p w:rsidR="00CC68F4" w:rsidRDefault="00CC68F4" w:rsidP="00CC68F4">
      <w:r>
        <w:t>Абсолютное большинство россиян (96,3%) обратили внимание на рост продуктовых цен в последние месяцы. По их мнению, заметнее всего подорожали овощи, фрукты, молочная продукция, мясо и растительные масла. В меньшей степени россияне ощутили увеличение стоимости рыбы, сахара, зерновых и макаронных изделий.</w:t>
      </w:r>
    </w:p>
    <w:p w:rsidR="00CC68F4" w:rsidRPr="00CC68F4" w:rsidRDefault="00CC68F4" w:rsidP="00CC68F4">
      <w:r>
        <w:t xml:space="preserve">"Виновниками" ускорения инфляции в России россияне чаще всего называют ослабление курса рубля (так ответили 36,1%), накрутку цен в торговых сетях (31%), ориентацию производителей на экспорт товаров в ущерб внутреннему потребителю (26,3%) и высокие инфляционные ожидания населения (6,6%). </w:t>
      </w:r>
      <w:r w:rsidRPr="001D5A23">
        <w:rPr>
          <w:i/>
        </w:rPr>
        <w:t>ПРАЙМ</w:t>
      </w:r>
    </w:p>
    <w:p w:rsidR="00455083" w:rsidRDefault="00455083" w:rsidP="00455083">
      <w:pPr>
        <w:rPr>
          <w:rFonts w:cs="Arial"/>
          <w:b/>
          <w:caps/>
          <w:color w:val="000000" w:themeColor="text1"/>
          <w:szCs w:val="18"/>
        </w:rPr>
      </w:pPr>
    </w:p>
    <w:p w:rsidR="00455083" w:rsidRPr="00455083" w:rsidRDefault="00455083" w:rsidP="00455083">
      <w:pPr>
        <w:rPr>
          <w:rFonts w:cs="Arial"/>
          <w:b/>
          <w:caps/>
          <w:color w:val="000000" w:themeColor="text1"/>
          <w:szCs w:val="18"/>
        </w:rPr>
      </w:pPr>
      <w:r w:rsidRPr="00455083">
        <w:rPr>
          <w:rFonts w:cs="Arial"/>
          <w:b/>
          <w:caps/>
          <w:color w:val="000000" w:themeColor="text1"/>
          <w:szCs w:val="18"/>
        </w:rPr>
        <w:t>Ставропольская ГК «Иррико» может отойти структурам Глеба Фетисова</w:t>
      </w:r>
    </w:p>
    <w:p w:rsidR="00455083" w:rsidRPr="00455083" w:rsidRDefault="00455083" w:rsidP="00455083">
      <w:r>
        <w:t xml:space="preserve"> </w:t>
      </w:r>
      <w:r w:rsidRPr="00455083">
        <w:t>Экс-сенатор Глеб Фетисов может заметно расширить свой агробизнес. Связанная с ним структура интересуется покупкой ГК «</w:t>
      </w:r>
      <w:proofErr w:type="spellStart"/>
      <w:r w:rsidRPr="00455083">
        <w:t>Иррико</w:t>
      </w:r>
      <w:proofErr w:type="spellEnd"/>
      <w:r w:rsidRPr="00455083">
        <w:t>», которая занимается растениеводством и овощеводством на 28 тыс. га в Ставропольском крае. Основным владельцем группы был ВТБ, искавший покупателя на актив с 2017 года. Земли «</w:t>
      </w:r>
      <w:proofErr w:type="spellStart"/>
      <w:r w:rsidRPr="00455083">
        <w:t>Иррико</w:t>
      </w:r>
      <w:proofErr w:type="spellEnd"/>
      <w:r w:rsidRPr="00455083">
        <w:t>»</w:t>
      </w:r>
      <w:r>
        <w:t xml:space="preserve"> могут стоить около 3 млрд руб.</w:t>
      </w:r>
    </w:p>
    <w:p w:rsidR="00455083" w:rsidRPr="00455083" w:rsidRDefault="00455083" w:rsidP="00455083">
      <w:r w:rsidRPr="00455083">
        <w:t>У Глеба Фетисова уже есть интересы в сельском хозяйстве. В 2018 году «Губернский» создал в Подмосковье агрохолдинг «Яхрома» для производства картофеля и овощей открытого грунта на 1,8 тыс. га. В том же году структура агрохолдинга приобрела активы овощеводческого предприятия «Зеленая долина» в Тамбовской области, включая 7,5 тыс. га земель. Таким образом, покупка ГК «</w:t>
      </w:r>
      <w:proofErr w:type="spellStart"/>
      <w:r w:rsidRPr="00455083">
        <w:t>Иррико</w:t>
      </w:r>
      <w:proofErr w:type="spellEnd"/>
      <w:r w:rsidRPr="00455083">
        <w:t>» позволит структурам господина Фетисова расширить площади сельхозземель до почти 37,5 тыс. га.</w:t>
      </w:r>
      <w:r w:rsidRPr="00455083">
        <w:rPr>
          <w:i/>
        </w:rPr>
        <w:t xml:space="preserve"> Коммерсантъ</w:t>
      </w:r>
    </w:p>
    <w:p w:rsidR="00455083" w:rsidRDefault="00455083" w:rsidP="00455083">
      <w:pPr>
        <w:rPr>
          <w:rFonts w:cs="Arial"/>
          <w:b/>
          <w:caps/>
          <w:color w:val="000000" w:themeColor="text1"/>
          <w:szCs w:val="18"/>
        </w:rPr>
      </w:pPr>
    </w:p>
    <w:p w:rsidR="004760A5" w:rsidRDefault="004760A5" w:rsidP="00455083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 xml:space="preserve">Ценовая ситуация на рынке </w:t>
      </w:r>
      <w:r w:rsidRPr="004760A5">
        <w:rPr>
          <w:rFonts w:cs="Arial"/>
          <w:b/>
          <w:caps/>
          <w:color w:val="000000" w:themeColor="text1"/>
          <w:szCs w:val="18"/>
        </w:rPr>
        <w:t xml:space="preserve">Кофе </w:t>
      </w:r>
    </w:p>
    <w:p w:rsidR="004760A5" w:rsidRPr="004760A5" w:rsidRDefault="004760A5" w:rsidP="004760A5">
      <w:r w:rsidRPr="004760A5">
        <w:t>"Рост себестоимости производства кофе неминуем, в сентябре-октябре мы, с высокой долей вероятности, получим новые отпускные цены", - заявил "Интерфаксу" генеральный директор ассоциации "</w:t>
      </w:r>
      <w:proofErr w:type="spellStart"/>
      <w:r w:rsidRPr="004760A5">
        <w:t>Р</w:t>
      </w:r>
      <w:r>
        <w:t>осчайкофе</w:t>
      </w:r>
      <w:proofErr w:type="spellEnd"/>
      <w:r>
        <w:t xml:space="preserve">" </w:t>
      </w:r>
      <w:proofErr w:type="spellStart"/>
      <w:r>
        <w:t>Рамаз</w:t>
      </w:r>
      <w:proofErr w:type="spellEnd"/>
      <w:r>
        <w:t xml:space="preserve"> </w:t>
      </w:r>
      <w:proofErr w:type="spellStart"/>
      <w:r>
        <w:t>Чантурия</w:t>
      </w:r>
      <w:proofErr w:type="spellEnd"/>
      <w:r>
        <w:t>.</w:t>
      </w:r>
    </w:p>
    <w:p w:rsidR="004760A5" w:rsidRPr="004760A5" w:rsidRDefault="004760A5" w:rsidP="004760A5">
      <w:r w:rsidRPr="004760A5">
        <w:t>По его словам, причинами этого являются подорожание сырья и фрахта. "Мы видим довольно высокие цены на бирже, биржевой индикатор - это некий ориентир для тех, кто покупает зеленый кофе. Рост себестоимости приведет к повышению отпускных цен, - сказал он. - Что же касается фрахта, то стоимость доставки кофе из кофепроизводящих регионов в сторону стран-потребителей за п</w:t>
      </w:r>
      <w:r>
        <w:t>оследнее время выросла в разы".</w:t>
      </w:r>
    </w:p>
    <w:p w:rsidR="004760A5" w:rsidRPr="004760A5" w:rsidRDefault="004760A5" w:rsidP="004760A5">
      <w:r w:rsidRPr="004760A5">
        <w:t xml:space="preserve">В то же время </w:t>
      </w:r>
      <w:proofErr w:type="spellStart"/>
      <w:r w:rsidRPr="004760A5">
        <w:t>Чантурия</w:t>
      </w:r>
      <w:proofErr w:type="spellEnd"/>
      <w:r w:rsidRPr="004760A5">
        <w:t xml:space="preserve"> не прогнозирует значительный рост цен. "Не думаю, что столкнемся с драматическим изменением стоимости. С высокой вероятностью можно сказать, что в эконом-сегменте оно не будет слишком заметным. В премиальном, скорее всего, продукция подорожает более адекватно тем изменениям, которые есть на рынке. Но потребитель в премиальном секторе лоялен к изменению цены, ему важно то, чтобы продукт соответствовал его требованиям", - сказал он.</w:t>
      </w:r>
      <w:r>
        <w:t xml:space="preserve"> </w:t>
      </w:r>
      <w:r w:rsidRPr="00455083">
        <w:rPr>
          <w:i/>
        </w:rPr>
        <w:t>Интерфакс</w:t>
      </w:r>
    </w:p>
    <w:p w:rsidR="00085DA6" w:rsidRPr="00F93264" w:rsidRDefault="00CD5A77" w:rsidP="00085DA6">
      <w:pPr>
        <w:pStyle w:val="a9"/>
      </w:pPr>
      <w:hyperlink r:id="rId16" w:history="1">
        <w:r w:rsidR="00085DA6" w:rsidRPr="00F93264">
          <w:t>ВЛАСТИ КУРГАНСКОЙ ОБЛАСТИ НАМЕРЕНЫ ВВЕСТИ РЕЖИМ ЧС ИЗ-ЗА ЗАСУХИ</w:t>
        </w:r>
      </w:hyperlink>
    </w:p>
    <w:p w:rsidR="00085DA6" w:rsidRDefault="00085DA6" w:rsidP="00085DA6">
      <w:r>
        <w:t>В Курганской области департамент агропромышленного комплекса предложил ввести на территории региона ЧС по причине засухи. Об этом сообщает региональный оперативный штаб.</w:t>
      </w:r>
    </w:p>
    <w:p w:rsidR="00085DA6" w:rsidRDefault="00085DA6" w:rsidP="00085DA6">
      <w:r>
        <w:t xml:space="preserve">Введение ЧС позволит аграриям пролонгировать кредиты и освободиться от штрафов в случае </w:t>
      </w:r>
      <w:proofErr w:type="spellStart"/>
      <w:r>
        <w:t>недостижения</w:t>
      </w:r>
      <w:proofErr w:type="spellEnd"/>
      <w:r>
        <w:t xml:space="preserve"> целевых индикаторов. Однако возместить ущерб от засухи смогут лишь те, кто застраховал посевы.</w:t>
      </w:r>
    </w:p>
    <w:p w:rsidR="00085DA6" w:rsidRPr="006F66CE" w:rsidRDefault="00085DA6" w:rsidP="00085DA6">
      <w:pPr>
        <w:rPr>
          <w:i/>
        </w:rPr>
      </w:pPr>
      <w:r>
        <w:t xml:space="preserve">Также правительство Курганской области готовит обращение в </w:t>
      </w:r>
      <w:r w:rsidRPr="00F93264">
        <w:rPr>
          <w:b/>
        </w:rPr>
        <w:t>Минсельхоз РФ</w:t>
      </w:r>
      <w:r>
        <w:t xml:space="preserve"> с просьбой о финансовой поддержке аграриев региона. </w:t>
      </w:r>
      <w:r w:rsidRPr="006F66CE">
        <w:rPr>
          <w:i/>
        </w:rPr>
        <w:t xml:space="preserve">ИА </w:t>
      </w:r>
      <w:proofErr w:type="spellStart"/>
      <w:r w:rsidRPr="006F66CE">
        <w:rPr>
          <w:i/>
        </w:rPr>
        <w:t>Regnum</w:t>
      </w:r>
      <w:proofErr w:type="spellEnd"/>
      <w:r>
        <w:rPr>
          <w:i/>
        </w:rPr>
        <w:t>,</w:t>
      </w:r>
      <w:r w:rsidRPr="00D27851">
        <w:rPr>
          <w:i/>
        </w:rPr>
        <w:t xml:space="preserve"> </w:t>
      </w:r>
      <w:r w:rsidRPr="006F66CE">
        <w:rPr>
          <w:i/>
        </w:rPr>
        <w:t>Интерфакс, MilkNews.ru</w:t>
      </w:r>
    </w:p>
    <w:p w:rsidR="00085DA6" w:rsidRPr="00F93264" w:rsidRDefault="00CD5A77" w:rsidP="00085DA6">
      <w:pPr>
        <w:pStyle w:val="a9"/>
      </w:pPr>
      <w:hyperlink r:id="rId17" w:history="1">
        <w:r w:rsidR="00085DA6" w:rsidRPr="00F93264">
          <w:t>ВОЛГОГРАДСКАЯ ОБЛАСТЬ ВДВОЕ УВЕЛИЧИЛА ЭКСПОРТ СЕЛЬХОЗПРОДУКЦИИ</w:t>
        </w:r>
      </w:hyperlink>
    </w:p>
    <w:p w:rsidR="00085DA6" w:rsidRDefault="00085DA6" w:rsidP="00085DA6">
      <w:r>
        <w:t xml:space="preserve">Волгоградская область за первое полугодие 2021 года экспортировала из региона 374,9 тыс. тонн </w:t>
      </w:r>
      <w:proofErr w:type="spellStart"/>
      <w:r>
        <w:t>сельхозтоваров</w:t>
      </w:r>
      <w:proofErr w:type="spellEnd"/>
      <w:r>
        <w:t>, что в два раза больше, чем в прошлом году, сообщила в среду пресс-служба обладминистрации.</w:t>
      </w:r>
    </w:p>
    <w:p w:rsidR="00085DA6" w:rsidRDefault="00085DA6" w:rsidP="00085DA6">
      <w:pPr>
        <w:rPr>
          <w:i/>
        </w:rPr>
      </w:pPr>
      <w:r>
        <w:t xml:space="preserve">Зерно, соки, корма для животных, растительные масла и другую продукцию АПК волгоградского производства охотно покупают за рубежом. По информации комитета сельского хозяйства Волгоградской области, продукция АПК экспортируется в более чем 50 стран. Наибольший объем товаров за первое полугодие поставлен в Турцию, Латвию, Египет и Казахстан. </w:t>
      </w:r>
      <w:r w:rsidRPr="006F66CE">
        <w:rPr>
          <w:i/>
        </w:rPr>
        <w:t>ТАСС, Крестьян</w:t>
      </w:r>
      <w:r>
        <w:rPr>
          <w:i/>
        </w:rPr>
        <w:t xml:space="preserve">ские Ведомости, </w:t>
      </w:r>
      <w:r w:rsidRPr="006F66CE">
        <w:rPr>
          <w:i/>
        </w:rPr>
        <w:t>MilkNews.ru</w:t>
      </w:r>
    </w:p>
    <w:p w:rsidR="00FF361E" w:rsidRDefault="00FF361E" w:rsidP="00FF361E">
      <w:pPr>
        <w:rPr>
          <w:rFonts w:cs="Arial"/>
          <w:b/>
          <w:caps/>
          <w:color w:val="000000" w:themeColor="text1"/>
          <w:szCs w:val="18"/>
        </w:rPr>
      </w:pPr>
    </w:p>
    <w:p w:rsidR="00FF361E" w:rsidRPr="00FF361E" w:rsidRDefault="00FF361E" w:rsidP="00FF361E">
      <w:pPr>
        <w:rPr>
          <w:rFonts w:cs="Arial"/>
          <w:b/>
          <w:caps/>
          <w:color w:val="000000" w:themeColor="text1"/>
          <w:szCs w:val="18"/>
        </w:rPr>
      </w:pPr>
      <w:r w:rsidRPr="00FF361E">
        <w:rPr>
          <w:rFonts w:cs="Arial"/>
          <w:b/>
          <w:caps/>
          <w:color w:val="000000" w:themeColor="text1"/>
          <w:szCs w:val="18"/>
        </w:rPr>
        <w:t>Массовую гибел</w:t>
      </w:r>
      <w:r>
        <w:rPr>
          <w:rFonts w:cs="Arial"/>
          <w:b/>
          <w:caps/>
          <w:color w:val="000000" w:themeColor="text1"/>
          <w:szCs w:val="18"/>
        </w:rPr>
        <w:t>ь пчел зафиксировали в Удмуртии</w:t>
      </w:r>
    </w:p>
    <w:p w:rsidR="00FF361E" w:rsidRPr="00FF361E" w:rsidRDefault="00FF361E" w:rsidP="00FF361E">
      <w:r w:rsidRPr="00FF361E">
        <w:t>В Сарапульском районе Удмуртии произошла массовая гибель пчел. Причины случившегося неизвестны, их выясняют специалисты ветеринарной службы.</w:t>
      </w:r>
    </w:p>
    <w:p w:rsidR="00FF361E" w:rsidRPr="00FF361E" w:rsidRDefault="00FF361E" w:rsidP="00FF361E">
      <w:r w:rsidRPr="00FF361E">
        <w:t xml:space="preserve">В главном управлении ветеринарии по республике сформировали комиссию, в состав которой вошли представители </w:t>
      </w:r>
      <w:proofErr w:type="spellStart"/>
      <w:r w:rsidRPr="00FF361E">
        <w:t>госветслужбы</w:t>
      </w:r>
      <w:proofErr w:type="spellEnd"/>
      <w:r w:rsidRPr="00FF361E">
        <w:t xml:space="preserve"> и районного управления сельского хозяйства. 13 июля члены комиссии выехали на место для проведения эпизоотического обследования.</w:t>
      </w:r>
    </w:p>
    <w:p w:rsidR="00FF361E" w:rsidRPr="00FF361E" w:rsidRDefault="00FF361E" w:rsidP="00FF361E">
      <w:r w:rsidRPr="00FF361E">
        <w:t>Как выяснилось, мор задел 12 хозяйств, пострадало от четырех до 50 пчелосемей на каждой пасеке. Около 70% насекомых погибли, выжившие пчелы ослаблены, надежды на их выздоровление мало.</w:t>
      </w:r>
      <w:r>
        <w:t xml:space="preserve"> </w:t>
      </w:r>
      <w:r w:rsidRPr="00FF361E">
        <w:rPr>
          <w:i/>
        </w:rPr>
        <w:t>Известия</w:t>
      </w:r>
    </w:p>
    <w:p w:rsidR="00CC68F4" w:rsidRPr="00F93264" w:rsidRDefault="00CD5A77" w:rsidP="00FF361E">
      <w:pPr>
        <w:pStyle w:val="a9"/>
      </w:pPr>
      <w:hyperlink r:id="rId18" w:history="1">
        <w:r w:rsidR="00CC68F4" w:rsidRPr="00F93264">
          <w:t>В ГИБЕЛИ ЛЕСОВ ОБВИНЯЮТ СКОТИНУ</w:t>
        </w:r>
      </w:hyperlink>
    </w:p>
    <w:p w:rsidR="00CC68F4" w:rsidRDefault="00CC68F4" w:rsidP="00CC68F4">
      <w:r>
        <w:t xml:space="preserve">Всемирный фонд дикой природы (WWF) и международная консалтинговая компания </w:t>
      </w:r>
      <w:proofErr w:type="spellStart"/>
      <w:r>
        <w:t>Boston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(BCG) подготовили доклад о причинах исчезновения лесов на земном шаре. Согласно отчету, наиболее значительная часть исчезновения лесов и перепрофилирования земель в мире связана с производством нескольких видов продукции: мяса (говядины), пальмового масла и сои, причем на животноводство приходится львиная доля негативного эффекта - 37%. </w:t>
      </w:r>
    </w:p>
    <w:p w:rsidR="00CC68F4" w:rsidRPr="00085DA6" w:rsidRDefault="00CC68F4" w:rsidP="00085DA6">
      <w:r>
        <w:t xml:space="preserve">В России ситуация совсем другая: леса сокращаются здесь в основном из-за лесных пожаров и неконтролируемых вырубок, отмечают авторы проекта. Интересно также, что если во всем мире восстановлению леса мешает активное </w:t>
      </w:r>
      <w:r w:rsidRPr="0008753C">
        <w:t>сельское хозяйство</w:t>
      </w:r>
      <w:r>
        <w:t xml:space="preserve">, то РФ оно, наоборот, помогает. Зарастание сельхозземель частично позволяет решить проблему обезлесения, говорят эксперты. </w:t>
      </w:r>
      <w:r>
        <w:rPr>
          <w:i/>
        </w:rPr>
        <w:t>Независимая газета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4D1149" w:rsidRDefault="004D1149" w:rsidP="004D1149">
      <w:pPr>
        <w:pStyle w:val="a9"/>
      </w:pPr>
      <w:r>
        <w:t>Политбюро устойчивости</w:t>
      </w:r>
    </w:p>
    <w:p w:rsidR="004D1149" w:rsidRPr="004D1149" w:rsidRDefault="004D1149" w:rsidP="004D1149">
      <w:r w:rsidRPr="004D1149">
        <w:t xml:space="preserve">За последние два года ближний круг президента России Владимира Путина не претерпел изменений. К такому выводу пришли эксперты коммуникационного агентства «Минченко Консалтинг» в очередном докладе из серии «Политбюро 2.0». Элиты сплотились ради сохранения президента на своем посту и готовы «ограниченно конкурировать» за новые источники доходов, однако сохранению статус-кво грозят последствия </w:t>
      </w:r>
      <w:proofErr w:type="spellStart"/>
      <w:r w:rsidRPr="004D1149">
        <w:t>коронавируса</w:t>
      </w:r>
      <w:proofErr w:type="spellEnd"/>
      <w:r w:rsidRPr="004D1149">
        <w:t xml:space="preserve"> и «экологическая револю</w:t>
      </w:r>
      <w:r>
        <w:t>ция» в ЕС, говорится в докладе.</w:t>
      </w:r>
    </w:p>
    <w:p w:rsidR="004D1149" w:rsidRPr="004D1149" w:rsidRDefault="004D1149" w:rsidP="004D1149">
      <w:r w:rsidRPr="004D1149">
        <w:t>Авторы доклада отмечают, что с момента публикации последнего аналогичного исследования состав ближнего круга Владимира Путина ос</w:t>
      </w:r>
      <w:r>
        <w:t>тался неизменным: в него входят</w:t>
      </w:r>
      <w:r w:rsidR="002C7833">
        <w:t xml:space="preserve">: </w:t>
      </w:r>
      <w:r w:rsidRPr="004D1149">
        <w:t>секретарь Совбеза Николай Патрушев, зампред совета Дмитрий Медведев, главы «</w:t>
      </w:r>
      <w:proofErr w:type="spellStart"/>
      <w:r w:rsidRPr="004D1149">
        <w:t>Ростеха</w:t>
      </w:r>
      <w:proofErr w:type="spellEnd"/>
      <w:r w:rsidRPr="004D1149">
        <w:t xml:space="preserve">» и «Роснефти» Сергей Чемезов и Игорь </w:t>
      </w:r>
      <w:proofErr w:type="spellStart"/>
      <w:r w:rsidRPr="004D1149">
        <w:t>Сечин</w:t>
      </w:r>
      <w:proofErr w:type="spellEnd"/>
      <w:r w:rsidRPr="004D1149">
        <w:t xml:space="preserve">, столичный мэр Сергей </w:t>
      </w:r>
      <w:proofErr w:type="spellStart"/>
      <w:r w:rsidRPr="004D1149">
        <w:t>Собянин</w:t>
      </w:r>
      <w:proofErr w:type="spellEnd"/>
      <w:r w:rsidRPr="004D1149">
        <w:t xml:space="preserve"> (авторы классифицируют Москву как «корпорацию»), министр обороны Сергей Шойгу и три доверенных бизнесмена, выступающих «операторами инфраструктурных проектов»,— Юрий Ковальчук, Геннадий Тимченко и Аркадий </w:t>
      </w:r>
      <w:proofErr w:type="spellStart"/>
      <w:r w:rsidRPr="004D1149">
        <w:t>Ротенберг</w:t>
      </w:r>
      <w:proofErr w:type="spellEnd"/>
      <w:r w:rsidRPr="004D1149">
        <w:rPr>
          <w:i/>
        </w:rPr>
        <w:t>. Коммерсантъ</w:t>
      </w:r>
    </w:p>
    <w:p w:rsidR="007D74B8" w:rsidRPr="004E5E65" w:rsidRDefault="00CD5A77" w:rsidP="007D74B8">
      <w:pPr>
        <w:pStyle w:val="a9"/>
      </w:pPr>
      <w:hyperlink r:id="rId19" w:history="1">
        <w:r w:rsidR="007D74B8" w:rsidRPr="004E5E65">
          <w:t>КУДРИН НЕ УВИДЕЛ СМЫСЛА В ПРЕДЛОЖЕНИЯХ ПО "ДОНАСТРОЙКЕ" НАЛОГОВ В РОССИИ</w:t>
        </w:r>
      </w:hyperlink>
    </w:p>
    <w:p w:rsidR="007D74B8" w:rsidRDefault="007D74B8" w:rsidP="007D74B8">
      <w:r>
        <w:t>Счетная палата оценит предложения Минфина, связанные с повышением налогов и индексацией акцизов, заявил глава Счетной палаты России Алексей Кудрин, передает "РИА Новости". Однако глава ведомства отметил, что, по его мнению, повышение акцизов не даст ожидаемого эффекта из-за "высокой исчерпанности" этих мер.</w:t>
      </w:r>
    </w:p>
    <w:p w:rsidR="007D74B8" w:rsidRPr="00343BFD" w:rsidRDefault="007D74B8" w:rsidP="007D74B8">
      <w:r>
        <w:t>"При рассмотрении прогноза бюджета на три года на бюджетной комиссии Минфин представил оценку необходимости повышения налогов и их собираемости примерно на 400 млрд руб., и Счетная палата сделает оценку этих предложений. Но ряд предложений, связанных с индексацией акцизов на табак, алкоголь, сахаросодержащие продукты, на мой взгляд, не дадут того эффекта, на который Минфин рассчитывает, в силу высокой исчерпанности этих мер для повышения налогов", - объяснил Кудрин.</w:t>
      </w:r>
      <w:r w:rsidR="00343BFD">
        <w:t xml:space="preserve"> </w:t>
      </w:r>
      <w:r w:rsidR="00343BFD">
        <w:rPr>
          <w:i/>
        </w:rPr>
        <w:t xml:space="preserve">РБК </w:t>
      </w:r>
    </w:p>
    <w:p w:rsidR="00F93264" w:rsidRPr="00F93264" w:rsidRDefault="00CD5A77" w:rsidP="00F93264">
      <w:pPr>
        <w:pStyle w:val="a9"/>
      </w:pPr>
      <w:hyperlink r:id="rId20" w:history="1">
        <w:r w:rsidR="00F93264" w:rsidRPr="00F93264">
          <w:t>НЕДЕЛЬНАЯ ИНФЛЯЦИЯ В РФ ЗАМЕДЛИЛАСЬ ДО 0,06%</w:t>
        </w:r>
      </w:hyperlink>
    </w:p>
    <w:p w:rsidR="00F93264" w:rsidRDefault="00F93264" w:rsidP="00F93264">
      <w:r>
        <w:t>Темпы роста потребительских цен на неделе с 6 по 12 июля резко замедлились до 0,06% после роста на 0,46% в предыдущую "тарифную" неделю, на 0,23% в последнюю неделю июня и на 0,12% в две недели перед ней.</w:t>
      </w:r>
    </w:p>
    <w:p w:rsidR="00F93264" w:rsidRDefault="00F93264" w:rsidP="00F93264">
      <w:r>
        <w:t>С начала июля инфляция составила 0,39%, с начала года достигла 4,6%, свидетельствуют данные Росстата.</w:t>
      </w:r>
    </w:p>
    <w:p w:rsidR="00F93264" w:rsidRDefault="00F93264" w:rsidP="00F93264">
      <w:r>
        <w:t>Среднесуточная инфляция за 12 дней июля составила 0,032% (за аналогичный период июля 2020 года показатель равнялся 0,028%).</w:t>
      </w:r>
    </w:p>
    <w:p w:rsidR="00F93264" w:rsidRDefault="00F93264" w:rsidP="00F93264">
      <w:pPr>
        <w:rPr>
          <w:i/>
        </w:rPr>
      </w:pPr>
      <w:r>
        <w:t>Как следует из среднесуточных данных Росстата, годовая инфляция в РФ на 12 июля несколько замедлилась - до 6,55% относительно 6,6%, зафиксированных по состоянию на 5 июля и рекордных за период с августа 2016 г. (</w:t>
      </w:r>
      <w:r w:rsidR="00343BFD">
        <w:t>тогда инфляция составила 6,8%).</w:t>
      </w:r>
      <w:r w:rsidR="00343BFD">
        <w:rPr>
          <w:i/>
        </w:rPr>
        <w:t xml:space="preserve"> </w:t>
      </w:r>
      <w:r w:rsidRPr="00EF7001">
        <w:rPr>
          <w:i/>
        </w:rPr>
        <w:t>Интерфакс</w:t>
      </w:r>
    </w:p>
    <w:p w:rsidR="00660007" w:rsidRPr="00EF7001" w:rsidRDefault="00660007" w:rsidP="00F93264">
      <w:pPr>
        <w:rPr>
          <w:i/>
        </w:rPr>
      </w:pPr>
      <w:bookmarkStart w:id="11" w:name="_GoBack"/>
      <w:bookmarkEnd w:id="11"/>
    </w:p>
    <w:p w:rsidR="00F93264" w:rsidRDefault="00F93264" w:rsidP="00F93264"/>
    <w:p w:rsidR="00F36182" w:rsidRPr="00F36182" w:rsidRDefault="00F36182" w:rsidP="00F36182">
      <w:pPr>
        <w:rPr>
          <w:rFonts w:cs="Arial"/>
          <w:b/>
          <w:caps/>
          <w:color w:val="000000" w:themeColor="text1"/>
          <w:szCs w:val="18"/>
        </w:rPr>
      </w:pPr>
      <w:r w:rsidRPr="00F36182">
        <w:rPr>
          <w:rFonts w:cs="Arial"/>
          <w:b/>
          <w:caps/>
          <w:color w:val="000000" w:themeColor="text1"/>
          <w:szCs w:val="18"/>
        </w:rPr>
        <w:lastRenderedPageBreak/>
        <w:t>Минэкономики оценило затрагиваемый экспорт РФ из-за климатических реформ ЕС в $7,6 млрд</w:t>
      </w:r>
    </w:p>
    <w:p w:rsidR="00F36182" w:rsidRDefault="00F36182" w:rsidP="00F36182">
      <w:r>
        <w:t>Программа Еврокомиссии по борьбе с изменением климата затронет поставки из России стали, алюминия, труб, электроэнергии и цемента общим объемом $7,6 млрд, подсчитало Минэкономики РФ. Ранее сегодня, 14 июля, Еврокомиссия представила обширный план действий для полной ликвидации углеродных выбросов в ЕС к 2050 году, который потребует полной перестройки экономики Евросоюза.</w:t>
      </w:r>
    </w:p>
    <w:p w:rsidR="00F36182" w:rsidRDefault="00F36182" w:rsidP="00F36182">
      <w:r>
        <w:t>«Когда механизм полностью заработает, металлы, трубы, удобрения, цемент, электроэнергию можно будет импортировать в ЕС только при условии оплаты каждой тонны выбросов СО2, которая образовалась при их производстве. Предполагается, что цена тонны СО2 будет равна средней цене, определяемой на аукционах в рамках системы торговли квотами на выбросы ЕС. Мера затронет российские поставки в ЕС железа и стали, алюминия, труб, электроэнергии и цемента в объеме $7,6 млрд</w:t>
      </w:r>
      <w:proofErr w:type="gramStart"/>
      <w:r>
        <w:t>»,—</w:t>
      </w:r>
      <w:proofErr w:type="gramEnd"/>
      <w:r>
        <w:t xml:space="preserve"> говорится в заявлении Минэкономики России.</w:t>
      </w:r>
    </w:p>
    <w:p w:rsidR="00C8396B" w:rsidRDefault="00F36182" w:rsidP="00660007">
      <w:r>
        <w:t xml:space="preserve">Глава ведомства Максим Решетников заявил об отсутствии уверенности в полном соблюдении соглашения Всемирной торговой организации (ВТО) в случае реализации этой программы. </w:t>
      </w:r>
      <w:r w:rsidRPr="00F36182">
        <w:rPr>
          <w:i/>
        </w:rPr>
        <w:t>Коммерсантъ</w:t>
      </w:r>
      <w:bookmarkEnd w:id="10"/>
    </w:p>
    <w:sectPr w:rsidR="00C8396B" w:rsidSect="005F3758">
      <w:headerReference w:type="default" r:id="rId21"/>
      <w:footerReference w:type="default" r:id="rId2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77" w:rsidRDefault="00CD5A77">
      <w:r>
        <w:separator/>
      </w:r>
    </w:p>
  </w:endnote>
  <w:endnote w:type="continuationSeparator" w:id="0">
    <w:p w:rsidR="00CD5A77" w:rsidRDefault="00CD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1E43D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1E43DE">
            <w:rPr>
              <w:rFonts w:cs="Arial"/>
              <w:color w:val="90989E"/>
              <w:sz w:val="16"/>
              <w:szCs w:val="16"/>
            </w:rPr>
            <w:t>15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1E43DE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60007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1E43D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1E43DE">
            <w:rPr>
              <w:rFonts w:cs="Arial"/>
              <w:color w:val="90989E"/>
              <w:sz w:val="16"/>
              <w:szCs w:val="16"/>
            </w:rPr>
            <w:t>15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1E43D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60007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77" w:rsidRDefault="00CD5A77">
      <w:r>
        <w:separator/>
      </w:r>
    </w:p>
  </w:footnote>
  <w:footnote w:type="continuationSeparator" w:id="0">
    <w:p w:rsidR="00CD5A77" w:rsidRDefault="00CD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E7EA644" wp14:editId="7BBD344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326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E2744D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326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20AB113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64"/>
    <w:rsid w:val="00031FAD"/>
    <w:rsid w:val="0003491F"/>
    <w:rsid w:val="00066C93"/>
    <w:rsid w:val="00085DA6"/>
    <w:rsid w:val="00195925"/>
    <w:rsid w:val="001E43DE"/>
    <w:rsid w:val="00270257"/>
    <w:rsid w:val="002930A3"/>
    <w:rsid w:val="002C7833"/>
    <w:rsid w:val="002E5101"/>
    <w:rsid w:val="003058E2"/>
    <w:rsid w:val="00343BFD"/>
    <w:rsid w:val="003C3C67"/>
    <w:rsid w:val="003E6521"/>
    <w:rsid w:val="004304C8"/>
    <w:rsid w:val="00455083"/>
    <w:rsid w:val="004760A5"/>
    <w:rsid w:val="004D1149"/>
    <w:rsid w:val="005233A0"/>
    <w:rsid w:val="005240C2"/>
    <w:rsid w:val="005745E7"/>
    <w:rsid w:val="005F3758"/>
    <w:rsid w:val="00604F1E"/>
    <w:rsid w:val="00660007"/>
    <w:rsid w:val="006E64AC"/>
    <w:rsid w:val="0074571A"/>
    <w:rsid w:val="00750476"/>
    <w:rsid w:val="0075469C"/>
    <w:rsid w:val="007910D0"/>
    <w:rsid w:val="00794B7C"/>
    <w:rsid w:val="007D74B8"/>
    <w:rsid w:val="007F0AB1"/>
    <w:rsid w:val="008625B5"/>
    <w:rsid w:val="008633A3"/>
    <w:rsid w:val="00880679"/>
    <w:rsid w:val="008C5391"/>
    <w:rsid w:val="008C68AD"/>
    <w:rsid w:val="00985DA8"/>
    <w:rsid w:val="009B4B1F"/>
    <w:rsid w:val="009B7C48"/>
    <w:rsid w:val="00A12D82"/>
    <w:rsid w:val="00A6464A"/>
    <w:rsid w:val="00B00260"/>
    <w:rsid w:val="00B1181A"/>
    <w:rsid w:val="00B22EE3"/>
    <w:rsid w:val="00B702C4"/>
    <w:rsid w:val="00B922A1"/>
    <w:rsid w:val="00BC4068"/>
    <w:rsid w:val="00BF48EC"/>
    <w:rsid w:val="00C14B74"/>
    <w:rsid w:val="00C14EA4"/>
    <w:rsid w:val="00C8396B"/>
    <w:rsid w:val="00C87324"/>
    <w:rsid w:val="00C90FBF"/>
    <w:rsid w:val="00CC68F4"/>
    <w:rsid w:val="00CD2DDE"/>
    <w:rsid w:val="00CD5A45"/>
    <w:rsid w:val="00CD5A77"/>
    <w:rsid w:val="00D27851"/>
    <w:rsid w:val="00D30973"/>
    <w:rsid w:val="00D52CCC"/>
    <w:rsid w:val="00D64498"/>
    <w:rsid w:val="00DB58B1"/>
    <w:rsid w:val="00E12208"/>
    <w:rsid w:val="00E4368A"/>
    <w:rsid w:val="00EA7B65"/>
    <w:rsid w:val="00F36182"/>
    <w:rsid w:val="00F41E23"/>
    <w:rsid w:val="00F4384C"/>
    <w:rsid w:val="00F62502"/>
    <w:rsid w:val="00F65057"/>
    <w:rsid w:val="00F93264"/>
    <w:rsid w:val="00FC4705"/>
    <w:rsid w:val="00FC7700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D58E4-D50F-4BB2-8654-E04EB15E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60007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0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078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283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929392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4664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66153472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728843055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446653463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91321">
          <w:marLeft w:val="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8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292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12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50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5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2805">
              <w:marLeft w:val="3288"/>
              <w:marRight w:val="12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4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8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78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96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541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302469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375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3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664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8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4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9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42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53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08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704677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76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69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665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178692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077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43812775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2088840698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904945880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35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2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edomosti.ru/news/https-mcx-gov-ru-press-service-news-dmitriy-patrushev-otsenil-razvitie-apk-i-selskikh-territoriy-ulyanovskoy-oblasti.html" TargetMode="External"/><Relationship Id="rId13" Type="http://schemas.openxmlformats.org/officeDocument/2006/relationships/hyperlink" Target="https://www.interfax-russia.ru/far-east/news/rosselhoznadzor-zapretil-vvozit-iz-knr-v-primore-bolee-110-tonn-zarazhennyh-ovoshchey" TargetMode="External"/><Relationship Id="rId18" Type="http://schemas.openxmlformats.org/officeDocument/2006/relationships/hyperlink" Target="https://www.ng.ru/economics/2021-07-14/4_8198_wood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tass.ru/ekonomika/11904543" TargetMode="External"/><Relationship Id="rId17" Type="http://schemas.openxmlformats.org/officeDocument/2006/relationships/hyperlink" Target="https://tass.ru/ekonomika/119023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num.ru/news/3322185.html" TargetMode="External"/><Relationship Id="rId20" Type="http://schemas.openxmlformats.org/officeDocument/2006/relationships/hyperlink" Target="https://www.interfax.ru/business/7779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ss.ru/ekonomika/1190025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prime.ru/consumer_markets/20210715/834202006.htm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rbc.ru/economics/14/07/2021/60ee7fc59a794716e5f66d0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azeta.ru/business/news/2021/07/14/n_16246430.shtm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0450-8660-4351-9CBC-1E4F993F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51</TotalTime>
  <Pages>6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10</cp:revision>
  <cp:lastPrinted>2021-07-15T07:46:00Z</cp:lastPrinted>
  <dcterms:created xsi:type="dcterms:W3CDTF">2021-07-15T05:10:00Z</dcterms:created>
  <dcterms:modified xsi:type="dcterms:W3CDTF">2021-07-15T07:47:00Z</dcterms:modified>
</cp:coreProperties>
</file>