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136E1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16:00 </w:t>
      </w:r>
      <w:r w:rsidRPr="009E3911">
        <w:rPr>
          <w:rFonts w:ascii="Times New Roman" w:hAnsi="Times New Roman"/>
          <w:b/>
          <w:color w:val="008B53"/>
          <w:sz w:val="40"/>
          <w:szCs w:val="72"/>
          <w:lang w:eastAsia="en-US"/>
        </w:rPr>
        <w:t>19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</w:t>
      </w:r>
      <w:r w:rsidRPr="009E3911">
        <w:rPr>
          <w:rFonts w:ascii="Times New Roman" w:hAnsi="Times New Roman"/>
          <w:b/>
          <w:color w:val="008B53"/>
          <w:sz w:val="40"/>
          <w:szCs w:val="72"/>
          <w:lang w:eastAsia="en-US"/>
        </w:rPr>
        <w:t>07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:00 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0.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9B4B1F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1476EA" w:rsidP="009B4B1F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20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B4B1F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43161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431614" w:rsidRPr="00126428" w:rsidRDefault="00DA20EB" w:rsidP="00DA20EB">
            <w:pPr>
              <w:pStyle w:val="a9"/>
            </w:pPr>
            <w:r>
              <w:t>20 АПРЕЛЯ</w:t>
            </w:r>
          </w:p>
          <w:p w:rsidR="00DA20EB" w:rsidRPr="0051630D" w:rsidRDefault="00431614" w:rsidP="009E3911">
            <w:r w:rsidRPr="00126428">
              <w:t xml:space="preserve">МОСКВА. 16:15. Парламентские слушания "Законодательное обеспечение эффективного развития агропромышленного комплекса и производства улучшенной и органической сельскохозяйственной продукции". Проводит Комитет Госдумы по аграрным вопросам. </w:t>
            </w:r>
            <w:bookmarkStart w:id="5" w:name="SEC_2"/>
            <w:bookmarkEnd w:id="4"/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</w:p>
          <w:p w:rsidR="00431614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DA20EB" w:rsidRDefault="00DA20EB" w:rsidP="00DA20EB">
            <w:pPr>
              <w:pStyle w:val="a9"/>
            </w:pPr>
            <w:r w:rsidRPr="000E1643">
              <w:t>ФАДН</w:t>
            </w:r>
          </w:p>
          <w:p w:rsidR="00431614" w:rsidRDefault="00431614" w:rsidP="00431614">
            <w:r w:rsidRPr="000E1643">
              <w:t>Замглавы Федерального агентства по делам национальностей (ФАДН) Михаил Ипатов освобожден от занимаемой должности в свя</w:t>
            </w:r>
            <w:r w:rsidR="009E3911">
              <w:t>зи с переходом на другую работу.</w:t>
            </w:r>
          </w:p>
          <w:p w:rsidR="00DA20EB" w:rsidRPr="000E1643" w:rsidRDefault="00DA20EB" w:rsidP="00DA20EB">
            <w:pPr>
              <w:pStyle w:val="a9"/>
            </w:pPr>
            <w:r w:rsidRPr="000E1643">
              <w:t>Балтфлот</w:t>
            </w:r>
          </w:p>
          <w:p w:rsidR="00DA20EB" w:rsidRDefault="00431614" w:rsidP="00431614">
            <w:r w:rsidRPr="000E1643">
              <w:t>Президент РФ Владимир Путин назначил вице-адмирала Сергея Липилина новым начал</w:t>
            </w:r>
            <w:r w:rsidR="009E3911">
              <w:t>ьником штаба Балтийского флота.</w:t>
            </w:r>
          </w:p>
          <w:p w:rsidR="009E3911" w:rsidRDefault="009E3911" w:rsidP="00431614"/>
          <w:p w:rsidR="00DA20EB" w:rsidRDefault="00DA20EB" w:rsidP="00DA20EB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DA20EB" w:rsidRPr="000E1643" w:rsidRDefault="00DA20EB" w:rsidP="00431614"/>
          <w:p w:rsidR="00C8396B" w:rsidRDefault="00431614" w:rsidP="009E3911">
            <w:r w:rsidRPr="000E1643">
              <w:t>20 апреля</w:t>
            </w:r>
            <w:r w:rsidR="009E3911">
              <w:t xml:space="preserve"> - </w:t>
            </w:r>
            <w:r w:rsidRPr="000E1643">
              <w:t>День Донора России</w:t>
            </w:r>
            <w:r w:rsidR="009E3911">
              <w:t>.</w:t>
            </w:r>
            <w:r>
              <w:t xml:space="preserve"> 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431614" w:rsidRDefault="00190BD8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9E3911" w:rsidRPr="00431614" w:rsidRDefault="00F128D0" w:rsidP="009E3911">
            <w:pPr>
              <w:pStyle w:val="a9"/>
            </w:pPr>
            <w:hyperlink r:id="rId7" w:history="1">
              <w:r w:rsidR="009E3911" w:rsidRPr="00431614">
                <w:t>ПОСЕВНАЯ КАМПАНИЯ НАЧАЛАСЬ В 41 РЕГИОНЕ РОССИИ</w:t>
              </w:r>
            </w:hyperlink>
          </w:p>
          <w:p w:rsidR="009E3911" w:rsidRPr="009E3911" w:rsidRDefault="009E3911" w:rsidP="009E3911">
            <w:pPr>
              <w:rPr>
                <w:b/>
              </w:rPr>
            </w:pPr>
            <w:r>
              <w:t xml:space="preserve">"Посевная кампания в России перешла в активную фазу, в настоящее время полевые работы уже ведутся в Южном, </w:t>
            </w:r>
            <w:proofErr w:type="gramStart"/>
            <w:r>
              <w:t>Северо-Кавказском</w:t>
            </w:r>
            <w:proofErr w:type="gramEnd"/>
            <w:r>
              <w:t xml:space="preserve">, а также в отдельных субъектах Центрального, Северо-Западного, Дальневосточного и Приволжского федеральных округов. Всего "на поля" вышли аграрии 41 региона страны", - сообщили в </w:t>
            </w:r>
            <w:r w:rsidRPr="009E3911">
              <w:rPr>
                <w:b/>
              </w:rPr>
              <w:t>Минсельхозе.</w:t>
            </w:r>
          </w:p>
          <w:p w:rsidR="00067111" w:rsidRDefault="009E3911" w:rsidP="009E3911">
            <w:r>
              <w:t xml:space="preserve">По данным </w:t>
            </w:r>
            <w:r w:rsidRPr="00431614">
              <w:rPr>
                <w:b/>
              </w:rPr>
              <w:t>Минсельхоза</w:t>
            </w:r>
            <w:r>
              <w:t xml:space="preserve">, работы проходят в штатном режиме, а их темпы соответствуют среднемноголетним значениям. На сегодняшний день яровой сев проведен на площади 2,7 млн га, что составляет 5,2% от прогноза. </w:t>
            </w:r>
          </w:p>
          <w:p w:rsidR="009E3911" w:rsidRPr="006F199A" w:rsidRDefault="009E3911" w:rsidP="009E3911">
            <w:pPr>
              <w:rPr>
                <w:i/>
              </w:rPr>
            </w:pPr>
            <w:r>
              <w:t xml:space="preserve">В этом году посевная площадь в целом по стране увеличится на 600 тыс. га и составит 80,5 млн га, из которых 51,5 млн га - яровой сев. В частности, на 10-15% по сравнению с прошлым годом вырастут площади под сахарной свеклой, что, по мнению </w:t>
            </w:r>
            <w:r w:rsidRPr="00431614">
              <w:rPr>
                <w:b/>
              </w:rPr>
              <w:t>Минсельхоза</w:t>
            </w:r>
            <w:r>
              <w:t xml:space="preserve">, позволит произвести больше сахара и обеспечить стабильную ситуацию на рынке этой социально значимой продукции. Кроме того, ожидается увеличение площадей под основными крупяными культурами, подсолнечником, овощами, картофелем и виноградниками. </w:t>
            </w:r>
            <w:r w:rsidRPr="006F199A">
              <w:rPr>
                <w:i/>
              </w:rPr>
              <w:t>ТАСС</w:t>
            </w:r>
            <w:r>
              <w:rPr>
                <w:i/>
              </w:rPr>
              <w:t>, Интерфакс</w:t>
            </w:r>
          </w:p>
          <w:bookmarkEnd w:id="6"/>
          <w:p w:rsidR="00C3487C" w:rsidRDefault="00C3487C" w:rsidP="00C3487C"/>
          <w:p w:rsidR="00C3487C" w:rsidRPr="00984C31" w:rsidRDefault="00C3487C" w:rsidP="00C3487C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>
              <w:rPr>
                <w:rFonts w:cs="Arial"/>
                <w:b/>
                <w:caps/>
                <w:color w:val="000000" w:themeColor="text1"/>
                <w:szCs w:val="18"/>
              </w:rPr>
              <w:t xml:space="preserve">Кафедра минсельхоза в </w:t>
            </w:r>
            <w:r w:rsidRPr="00984C31">
              <w:rPr>
                <w:rFonts w:cs="Arial"/>
                <w:b/>
                <w:caps/>
                <w:color w:val="000000" w:themeColor="text1"/>
                <w:szCs w:val="18"/>
              </w:rPr>
              <w:t>МГИМО объявляет набор на магистерскую программу «Мировые аграрные рынки»</w:t>
            </w:r>
          </w:p>
          <w:p w:rsidR="00C3487C" w:rsidRDefault="00C3487C" w:rsidP="00C3487C">
            <w:r>
              <w:t xml:space="preserve">Базовая кафедра </w:t>
            </w:r>
            <w:r w:rsidRPr="00984C31">
              <w:rPr>
                <w:b/>
              </w:rPr>
              <w:t>Минсельхоза России</w:t>
            </w:r>
            <w:r>
              <w:t xml:space="preserve"> в МГИМО объявляет набор на магистерскую программу «Мировые аграрные рынки», не имеющую аналогов на рынке образовательных услуг. Программа ориентирована на подготовку специалистов мирового уровня в области АПК, способных представлять интересы России на международном аграрном рынке. Данное направление подготовки открылось на базе кафедры </w:t>
            </w:r>
            <w:r w:rsidRPr="00984C31">
              <w:rPr>
                <w:b/>
              </w:rPr>
              <w:t>Минсельхоза России</w:t>
            </w:r>
            <w:r>
              <w:t xml:space="preserve"> «Международные аграрные рынки и ВЭД в АПК» в 2019 году, уже этим летом первые выпускники программы получат дипломы магистров. </w:t>
            </w:r>
            <w:r w:rsidRPr="00C3487C">
              <w:rPr>
                <w:i/>
              </w:rPr>
              <w:t>Фермер</w:t>
            </w:r>
            <w:r w:rsidRPr="0051630D">
              <w:t xml:space="preserve"> </w:t>
            </w:r>
          </w:p>
          <w:p w:rsidR="00C3487C" w:rsidRDefault="00C3487C" w:rsidP="00C3487C"/>
          <w:p w:rsidR="009E3911" w:rsidRPr="00C3487C" w:rsidRDefault="009E3911" w:rsidP="00C3487C">
            <w:pPr>
              <w:rPr>
                <w:b/>
              </w:rPr>
            </w:pPr>
            <w:r w:rsidRPr="00C3487C">
              <w:rPr>
                <w:b/>
              </w:rPr>
              <w:t>ДИНАМИКА ЦЕН НА КУРИНОЕ МЯСО В РОССИИ</w:t>
            </w:r>
          </w:p>
          <w:p w:rsidR="00C64CF7" w:rsidRDefault="009E3911" w:rsidP="00C64CF7">
            <w:pPr>
              <w:rPr>
                <w:i/>
              </w:rPr>
            </w:pPr>
            <w:r>
              <w:t xml:space="preserve">Экономический обозреватель: Курица дешевеет. Отпускные цены по России в целом пошли вниз. Об этом "Известиям" рассказали в Национальном союзе птицеводов. Снижение цен в последние три-четыре недели там связывают с просевшим спросом. Из-за Великого поста россияне стали покупать меньше мяса. В </w:t>
            </w:r>
            <w:r w:rsidRPr="0051630D">
              <w:rPr>
                <w:b/>
              </w:rPr>
              <w:t>Министерстве сельского хозяйства</w:t>
            </w:r>
            <w:r>
              <w:t xml:space="preserve"> снижение цен подтверждают. </w:t>
            </w:r>
            <w:r w:rsidRPr="00CC7829">
              <w:rPr>
                <w:i/>
              </w:rPr>
              <w:t>Россия 24</w:t>
            </w:r>
          </w:p>
          <w:p w:rsidR="001A3032" w:rsidRDefault="001A3032" w:rsidP="001A3032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1A3032" w:rsidRPr="00AC3EC4" w:rsidRDefault="001A3032" w:rsidP="001A3032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AC3EC4">
              <w:rPr>
                <w:rFonts w:cs="Arial"/>
                <w:b/>
                <w:caps/>
                <w:color w:val="000000" w:themeColor="text1"/>
                <w:szCs w:val="18"/>
              </w:rPr>
              <w:t>Как благоустраивают поселки для привлечения работников на производства</w:t>
            </w:r>
          </w:p>
          <w:p w:rsidR="001A3032" w:rsidRDefault="001A3032" w:rsidP="001A3032">
            <w:r>
              <w:t>Исправить ситуацию с оттоком населения из деревень призвана новая комплексная программа развития сельских территорий.</w:t>
            </w:r>
          </w:p>
          <w:p w:rsidR="001A3032" w:rsidRDefault="001A3032" w:rsidP="001A3032">
            <w:r>
              <w:t>Программа призвана сохранить существующий баланс городского и сельского населения, приблизить доходы жителей села к доходам горожан, помочь в благоустройстве сельского жилья. Власти регионов заинтересованы в получении финансирования по программе, чтобы привлечь в сельскую местность молодых специалистов.</w:t>
            </w:r>
          </w:p>
          <w:p w:rsidR="001A3032" w:rsidRDefault="001A3032" w:rsidP="001A3032">
            <w:r>
              <w:t xml:space="preserve">В феврале 2021 года правительство РФ распределило дополнительные средства на развитие села. Речь идет о 2,47 млрд руб. для 31 проекта в 22 субъектах, а также 1,16 млрд руб. на субсидирование программы сельской ипотеки под 3% годовых. </w:t>
            </w:r>
          </w:p>
          <w:p w:rsidR="001A3032" w:rsidRPr="00577A29" w:rsidRDefault="001A3032" w:rsidP="00C64CF7">
            <w:pPr>
              <w:rPr>
                <w:i/>
              </w:rPr>
            </w:pPr>
            <w:r>
              <w:t xml:space="preserve">В декабре 2020 года </w:t>
            </w:r>
            <w:r w:rsidRPr="00AC3EC4">
              <w:rPr>
                <w:b/>
              </w:rPr>
              <w:t xml:space="preserve">Минсельхоз </w:t>
            </w:r>
            <w:r>
              <w:t xml:space="preserve">представил проект обновленной госпрограммы развития села, которую могут продлить до 2030 года, что должно привести к увеличению финансирования с 1,5 трлн до 3,3 трлн руб. В основном дополнительные средства предусматриваются именно на 2025–2030 годы, однако некоторую прибавку, несмотря на сокращение финансирования со стороны федерального центра и регионов, </w:t>
            </w:r>
            <w:r w:rsidRPr="00AC3EC4">
              <w:rPr>
                <w:b/>
              </w:rPr>
              <w:t xml:space="preserve">Минсельхоз </w:t>
            </w:r>
            <w:r>
              <w:t>ожидает и в ближайшие годы — за счет более активного привлечения частных средств.</w:t>
            </w:r>
            <w:r w:rsidRPr="00E66580">
              <w:rPr>
                <w:i/>
              </w:rPr>
              <w:t xml:space="preserve"> Коммерсантъ</w:t>
            </w:r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606D8" w:rsidRPr="00E66580" w:rsidRDefault="001606D8" w:rsidP="001606D8">
      <w:pPr>
        <w:rPr>
          <w:rFonts w:cs="Arial"/>
          <w:b/>
          <w:caps/>
          <w:color w:val="000000" w:themeColor="text1"/>
          <w:szCs w:val="18"/>
        </w:rPr>
      </w:pPr>
      <w:bookmarkStart w:id="9" w:name="SEC_3"/>
      <w:r w:rsidRPr="00E66580">
        <w:rPr>
          <w:rFonts w:cs="Arial"/>
          <w:b/>
          <w:caps/>
          <w:color w:val="000000" w:themeColor="text1"/>
          <w:szCs w:val="18"/>
        </w:rPr>
        <w:lastRenderedPageBreak/>
        <w:t>Как вузы готовят специалистов для отрасли</w:t>
      </w:r>
    </w:p>
    <w:p w:rsidR="001606D8" w:rsidRDefault="001606D8" w:rsidP="001606D8">
      <w:r>
        <w:t xml:space="preserve">Сегодня в России работают более 50 высших и более 250 средних учебных заведений, которые готовят специалистов для АПК, но профильными учреждениями выбор выпускников, которые заинтересовались отраслью, не ограничивается. </w:t>
      </w:r>
    </w:p>
    <w:p w:rsidR="001606D8" w:rsidRDefault="001606D8" w:rsidP="001606D8">
      <w:r>
        <w:t xml:space="preserve">Начальник отдела экономики инноваций Института аграрных исследований НИУ ВШЭ Надежда Орлова говорит, что интерес к аграрному образованию, безусловно, растет вслед за ростом эффективности сектора. Институт аграрных исследований НИУ ВШЭ открыл в 2020–2021 учебном году магистерскую программу по аграрной экономике. </w:t>
      </w:r>
    </w:p>
    <w:p w:rsidR="001606D8" w:rsidRDefault="001606D8" w:rsidP="001606D8">
      <w:r>
        <w:t xml:space="preserve">К.э.н., доцент, заведующий базовой кафедрой </w:t>
      </w:r>
      <w:r w:rsidRPr="00E66580">
        <w:rPr>
          <w:b/>
        </w:rPr>
        <w:t xml:space="preserve">Минсельхоза </w:t>
      </w:r>
      <w:r>
        <w:t xml:space="preserve">«Международные аграрные рынки и ВЭД в АПК» МГИМО МИД России Наталья </w:t>
      </w:r>
      <w:proofErr w:type="spellStart"/>
      <w:r>
        <w:t>Чернер</w:t>
      </w:r>
      <w:proofErr w:type="spellEnd"/>
      <w:r>
        <w:t xml:space="preserve"> рассказывает, что с 2018 года МГИМО совместно с </w:t>
      </w:r>
      <w:r w:rsidRPr="00E66580">
        <w:rPr>
          <w:b/>
        </w:rPr>
        <w:t>Министерством сельского хозяйства реализует</w:t>
      </w:r>
      <w:r>
        <w:t xml:space="preserve"> две программы в сфере продвижения российской сельхозпродукции на внешних рынках — магистратуру «Мировые аграрные рынки» и МВА-программу «Мировые аграрные рынки и внешнеэкономическая деятельность в АПК». В качестве преподавателей-практиков на программы приглашены специалисты из государственных органов управления, в том числе </w:t>
      </w:r>
      <w:r w:rsidRPr="00E66580">
        <w:rPr>
          <w:b/>
        </w:rPr>
        <w:t>Минсельхоза</w:t>
      </w:r>
      <w:r>
        <w:t xml:space="preserve">, </w:t>
      </w:r>
      <w:proofErr w:type="spellStart"/>
      <w:r>
        <w:t>Россельхозбанка</w:t>
      </w:r>
      <w:proofErr w:type="spellEnd"/>
      <w:r>
        <w:t xml:space="preserve">, </w:t>
      </w:r>
      <w:proofErr w:type="spellStart"/>
      <w:r>
        <w:t>Россельхознадзора</w:t>
      </w:r>
      <w:proofErr w:type="spellEnd"/>
      <w:r>
        <w:t xml:space="preserve">, собственники и топ-менеджеры крупных сельскохозяйственных предприятий, представители консалтинговых фирм, крупнейших </w:t>
      </w:r>
      <w:proofErr w:type="spellStart"/>
      <w:r>
        <w:t>зернотрейдеров</w:t>
      </w:r>
      <w:proofErr w:type="spellEnd"/>
      <w:r>
        <w:t xml:space="preserve"> России, международных компаний и многих других.</w:t>
      </w:r>
    </w:p>
    <w:p w:rsidR="001606D8" w:rsidRDefault="001606D8" w:rsidP="001606D8">
      <w:pPr>
        <w:rPr>
          <w:i/>
        </w:rPr>
      </w:pPr>
      <w:r>
        <w:t xml:space="preserve">Заместитель директора дирекции развития </w:t>
      </w:r>
      <w:proofErr w:type="spellStart"/>
      <w:r>
        <w:t>агро</w:t>
      </w:r>
      <w:proofErr w:type="spellEnd"/>
      <w:r>
        <w:t>- и биотехнологий компании «</w:t>
      </w:r>
      <w:proofErr w:type="spellStart"/>
      <w:r>
        <w:t>Иннопрактика</w:t>
      </w:r>
      <w:proofErr w:type="spellEnd"/>
      <w:r>
        <w:t xml:space="preserve">» Василий Морозов рассказывает, что с 2019 года между </w:t>
      </w:r>
      <w:r w:rsidRPr="00E66580">
        <w:rPr>
          <w:b/>
        </w:rPr>
        <w:t>Министерством сельского хозяйства России</w:t>
      </w:r>
      <w:r>
        <w:t xml:space="preserve"> и компанией «</w:t>
      </w:r>
      <w:proofErr w:type="spellStart"/>
      <w:r>
        <w:t>Иннопрактика</w:t>
      </w:r>
      <w:proofErr w:type="spellEnd"/>
      <w:r>
        <w:t>» действует соглашение, направленное на создание условий для внедрения конкурентоспособных отечественных технологий, совершенствование системы подготовки кадров для агропромышленного комплекса и развитие высокотехнологичного произ</w:t>
      </w:r>
      <w:r w:rsidR="00971D78">
        <w:t xml:space="preserve">водства продукции АПК в России. </w:t>
      </w:r>
      <w:r w:rsidRPr="00E66580">
        <w:rPr>
          <w:i/>
        </w:rPr>
        <w:t>Коммерсантъ</w:t>
      </w:r>
    </w:p>
    <w:p w:rsidR="00577A29" w:rsidRDefault="00577A29" w:rsidP="00577A29"/>
    <w:p w:rsidR="00577A29" w:rsidRDefault="00577A29" w:rsidP="00577A29">
      <w:r w:rsidRPr="00C64CF7">
        <w:rPr>
          <w:b/>
        </w:rPr>
        <w:t>К</w:t>
      </w:r>
      <w:r w:rsidRPr="00C64CF7">
        <w:rPr>
          <w:rFonts w:cs="Arial"/>
          <w:b/>
          <w:caps/>
          <w:color w:val="000000" w:themeColor="text1"/>
          <w:szCs w:val="18"/>
        </w:rPr>
        <w:t>ак меняется работа в АПК с внедрением цифровых технологий</w:t>
      </w:r>
    </w:p>
    <w:p w:rsidR="00577A29" w:rsidRDefault="00577A29" w:rsidP="00577A29">
      <w:r>
        <w:t xml:space="preserve">Дальнейшее развитие АПК в России неразрывно связано с цифровыми технологиями. Уже сейчас ряд компаний использует на своих площадках датчики и компьютерное зрение для контроля за состоянием животных, полей, а на заводах по выпуску готовой продукции — роботизированную технику и искусственный интеллект, чтобы свести к минимуму человеческий контакт и улучшить производительность. </w:t>
      </w:r>
    </w:p>
    <w:p w:rsidR="00577A29" w:rsidRDefault="00577A29" w:rsidP="00577A29">
      <w:r>
        <w:t xml:space="preserve">В 2019 году </w:t>
      </w:r>
      <w:r w:rsidRPr="00C64CF7">
        <w:rPr>
          <w:b/>
        </w:rPr>
        <w:t xml:space="preserve">Минсельхоз </w:t>
      </w:r>
      <w:r>
        <w:t>разработал проект «Цифровое сельское хозяйство» до 2024 года, который призван обеспечить цифровую трансформацию отрасли за счет введения IT-технологий и решений для технологического прорыва в АПК. Предполагается, что это приведет к увеличению производительности труда на сельскохозяйственных предприятиях в два раза в расчете на одного работника, позволит сократить удельные затраты компаний на администрирование бизнеса в 1,5 раза, а доли материальных затрат в себестоимости (ГСМ, удобрения, электроэнергия, посадочный материал, корма и др.) на 20% и более.</w:t>
      </w:r>
    </w:p>
    <w:p w:rsidR="00577A29" w:rsidRPr="00577A29" w:rsidRDefault="00577A29" w:rsidP="00577A29">
      <w:r w:rsidRPr="00C64CF7">
        <w:rPr>
          <w:b/>
        </w:rPr>
        <w:t>В Минсельхозе</w:t>
      </w:r>
      <w:r>
        <w:t xml:space="preserve"> на первом этапе предлагают создать и внедрить национальную платформу цифрового государственного управления сельским хозяйством, которая даст участникам рынка возможность получать государственную поддержку через общую, единую национальную цифровую платформу. Второй этап уже основывается на создании и внедрении модуля «</w:t>
      </w:r>
      <w:proofErr w:type="spellStart"/>
      <w:r>
        <w:t>Агрорешения</w:t>
      </w:r>
      <w:proofErr w:type="spellEnd"/>
      <w:r>
        <w:t>» для повышения эффективности бизнеса. А третий этап — на создании системы непрерывной подготовки специалистов сельскохозяйственных предприятий с целью формирования у них компетенций в области цифровой экономики.</w:t>
      </w:r>
      <w:r w:rsidRPr="00E66580">
        <w:rPr>
          <w:i/>
        </w:rPr>
        <w:t xml:space="preserve"> Коммерсантъ</w:t>
      </w:r>
    </w:p>
    <w:p w:rsidR="00431614" w:rsidRDefault="00F62502" w:rsidP="00577A29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632121" w:rsidRPr="00431614" w:rsidRDefault="00F128D0" w:rsidP="00577A29">
      <w:pPr>
        <w:pStyle w:val="a9"/>
      </w:pPr>
      <w:hyperlink r:id="rId10" w:history="1">
        <w:r w:rsidR="00632121" w:rsidRPr="00431614">
          <w:t>СЕНАТОРЫ РЕКОМЕНДУЮТ МИНСЕЛЬХОЗУ ПРЕДОСТАВИТЬ ЦВЕТОВОДАМ ПРАВО НА ЛЬГОТНЫЕ КРЕДИТЫ</w:t>
        </w:r>
      </w:hyperlink>
    </w:p>
    <w:p w:rsidR="00632121" w:rsidRDefault="00632121" w:rsidP="00632121">
      <w:r>
        <w:t xml:space="preserve">Комитет Совета Федерации по бюджету и финансовым рынкам рекомендует </w:t>
      </w:r>
      <w:r w:rsidRPr="00431614">
        <w:rPr>
          <w:b/>
        </w:rPr>
        <w:t>Минсельхозу РФ</w:t>
      </w:r>
      <w:r>
        <w:t xml:space="preserve"> дать производителям цветочной продукции право на льготные краткосрочные кредиты. </w:t>
      </w:r>
    </w:p>
    <w:p w:rsidR="00C8396B" w:rsidRDefault="00632121" w:rsidP="00431614">
      <w:pPr>
        <w:rPr>
          <w:i/>
        </w:rPr>
      </w:pPr>
      <w:r>
        <w:t xml:space="preserve">"Предложить </w:t>
      </w:r>
      <w:r w:rsidRPr="00431614">
        <w:rPr>
          <w:b/>
        </w:rPr>
        <w:t>министерству сельского хозяйства РФ</w:t>
      </w:r>
      <w:r>
        <w:t xml:space="preserve"> разработать до 20 мая 2021 года программу развития отрасли цветоводства, определив в ней перечень мер государственной поддержки отечественных производителей цветочной продукции и условия ее предоставления. Кроме того, уточнить порядок предоставления льготных краткосрочных кредитов, включив в число их получателей производителей цветочной продукции", - говорится в документе. </w:t>
      </w:r>
      <w:r w:rsidRPr="006F199A">
        <w:rPr>
          <w:i/>
        </w:rPr>
        <w:t>ТАСС</w:t>
      </w:r>
    </w:p>
    <w:p w:rsidR="00CD11C2" w:rsidRDefault="00CD11C2" w:rsidP="00FD59DC">
      <w:pPr>
        <w:rPr>
          <w:rFonts w:cs="Arial"/>
          <w:b/>
          <w:caps/>
          <w:color w:val="000000" w:themeColor="text1"/>
          <w:szCs w:val="18"/>
        </w:rPr>
      </w:pPr>
    </w:p>
    <w:p w:rsidR="00FD59DC" w:rsidRDefault="00FD59DC" w:rsidP="00FD59DC">
      <w:pPr>
        <w:rPr>
          <w:rFonts w:cs="Arial"/>
          <w:b/>
          <w:caps/>
          <w:color w:val="000000" w:themeColor="text1"/>
          <w:szCs w:val="18"/>
        </w:rPr>
      </w:pPr>
      <w:r w:rsidRPr="00FD59DC">
        <w:rPr>
          <w:rFonts w:cs="Arial"/>
          <w:b/>
          <w:caps/>
          <w:color w:val="000000" w:themeColor="text1"/>
          <w:szCs w:val="18"/>
        </w:rPr>
        <w:t xml:space="preserve">Ведомствам поручено в IV квартале подготовить доклад о мерах господдержки </w:t>
      </w:r>
      <w:r>
        <w:rPr>
          <w:rFonts w:cs="Arial"/>
          <w:b/>
          <w:caps/>
          <w:color w:val="000000" w:themeColor="text1"/>
          <w:szCs w:val="18"/>
        </w:rPr>
        <w:t>объектов АПК в Арктической зоне</w:t>
      </w:r>
    </w:p>
    <w:p w:rsidR="00FD59DC" w:rsidRPr="00FD59DC" w:rsidRDefault="00FD59DC" w:rsidP="00FD59DC">
      <w:r w:rsidRPr="00FD59DC">
        <w:t xml:space="preserve">Правительство поручило </w:t>
      </w:r>
      <w:proofErr w:type="spellStart"/>
      <w:r w:rsidRPr="00FD59DC">
        <w:t>Минвостокразвития</w:t>
      </w:r>
      <w:proofErr w:type="spellEnd"/>
      <w:r w:rsidRPr="00FD59DC">
        <w:t xml:space="preserve">, </w:t>
      </w:r>
      <w:r w:rsidRPr="00B53C40">
        <w:rPr>
          <w:b/>
        </w:rPr>
        <w:t>Минсельхозу</w:t>
      </w:r>
      <w:r w:rsidRPr="00FD59DC">
        <w:t xml:space="preserve"> и </w:t>
      </w:r>
      <w:proofErr w:type="spellStart"/>
      <w:r w:rsidRPr="00FD59DC">
        <w:t>Росрыболовству</w:t>
      </w:r>
      <w:proofErr w:type="spellEnd"/>
      <w:r w:rsidRPr="00FD59DC">
        <w:t xml:space="preserve"> подготовить и в четвертом квартале этого года внести доклад о мерах господдержки создания и (или) модернизации объектов АПК в Арктической зоне, следует из плана мероприятий по реализации стратегии развития Арктической зоны и основ </w:t>
      </w:r>
      <w:proofErr w:type="spellStart"/>
      <w:r w:rsidRPr="00FD59DC">
        <w:t>госполитики</w:t>
      </w:r>
      <w:proofErr w:type="spellEnd"/>
      <w:r w:rsidRPr="00FD59DC">
        <w:t xml:space="preserve"> в Арктике, с к</w:t>
      </w:r>
      <w:r>
        <w:t xml:space="preserve">оторым ознакомился "Интерфакс". </w:t>
      </w:r>
      <w:r w:rsidRPr="00FD59DC">
        <w:t xml:space="preserve">Речь идет о </w:t>
      </w:r>
      <w:proofErr w:type="spellStart"/>
      <w:r w:rsidRPr="00FD59DC">
        <w:t>рыбоперерабатывающих</w:t>
      </w:r>
      <w:proofErr w:type="spellEnd"/>
      <w:r w:rsidRPr="00FD59DC">
        <w:t xml:space="preserve"> и животноводческих комплексах, рыбоводных предприятиях, тепли</w:t>
      </w:r>
      <w:r>
        <w:t xml:space="preserve">цах, оленеводческих хозяйствах. </w:t>
      </w:r>
      <w:r w:rsidRPr="00FD59DC">
        <w:rPr>
          <w:i/>
        </w:rPr>
        <w:t>Интерфакс</w:t>
      </w:r>
    </w:p>
    <w:p w:rsidR="007A43DF" w:rsidRPr="00431614" w:rsidRDefault="00F128D0" w:rsidP="00FD59DC">
      <w:pPr>
        <w:pStyle w:val="a9"/>
      </w:pPr>
      <w:hyperlink r:id="rId11" w:history="1">
        <w:r w:rsidR="007A43DF" w:rsidRPr="00431614">
          <w:t>ДЕПТРАНС ОТВЕТИЛ НА ПРЕТЕНЗИИ ПОСТАВЩИКОВ ИЗ-ЗА ПРАВИЛ ПЕРЕВОЗКИ ГРУЗОВ</w:t>
        </w:r>
      </w:hyperlink>
    </w:p>
    <w:p w:rsidR="007A43DF" w:rsidRDefault="007A43DF" w:rsidP="007A43DF">
      <w:r>
        <w:t>Изменение правил движения грузового транспорта массой больше 3,5 т по Москве коснется только транзитных маршрутов и значительно улучшит жизнь москвичей. Об этом РБК сообщила пресс-служба Департамента транспорта города.</w:t>
      </w:r>
    </w:p>
    <w:p w:rsidR="007A43DF" w:rsidRDefault="007A43DF" w:rsidP="007A43DF">
      <w:r>
        <w:t xml:space="preserve">Департамент добавил, что решение тщательно прорабатывалось. Введение ограничений уже перенесли с 5 апреля на 5 мая, чтобы грузоперевозки могли адаптироваться к изменениям и заранее получить необходимые пропуска. </w:t>
      </w:r>
      <w:proofErr w:type="spellStart"/>
      <w:r>
        <w:t>Дептранс</w:t>
      </w:r>
      <w:proofErr w:type="spellEnd"/>
      <w:r>
        <w:t xml:space="preserve"> уточнил, что оформить пропуск можно будет с 14 апреля бесплатно через сайт </w:t>
      </w:r>
      <w:proofErr w:type="spellStart"/>
      <w:r>
        <w:t>госуслуг</w:t>
      </w:r>
      <w:proofErr w:type="spellEnd"/>
      <w:r>
        <w:t>.</w:t>
      </w:r>
    </w:p>
    <w:p w:rsidR="007A43DF" w:rsidRPr="00431614" w:rsidRDefault="007A43DF" w:rsidP="00431614">
      <w:r>
        <w:lastRenderedPageBreak/>
        <w:t xml:space="preserve">В департаменте добавили, что не регулирует цены на </w:t>
      </w:r>
      <w:proofErr w:type="spellStart"/>
      <w:r>
        <w:t>телематическое</w:t>
      </w:r>
      <w:proofErr w:type="spellEnd"/>
      <w:r>
        <w:t xml:space="preserve"> оборудование, которое будут устанавливать на </w:t>
      </w:r>
      <w:proofErr w:type="spellStart"/>
      <w:r>
        <w:t>большегрузы</w:t>
      </w:r>
      <w:proofErr w:type="spellEnd"/>
      <w:r>
        <w:t xml:space="preserve">. Перевозчики смогут выбрать его сами. "По информации из открытых данных, цены начинаются с 3 тыс. руб. за устройство", - отметил </w:t>
      </w:r>
      <w:proofErr w:type="spellStart"/>
      <w:r>
        <w:t>Дептранс</w:t>
      </w:r>
      <w:proofErr w:type="spellEnd"/>
      <w:r>
        <w:t xml:space="preserve">. </w:t>
      </w:r>
      <w:r>
        <w:rPr>
          <w:i/>
        </w:rPr>
        <w:t>РБК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632121" w:rsidRPr="0051630D" w:rsidRDefault="00F128D0" w:rsidP="00632121">
      <w:pPr>
        <w:pStyle w:val="a9"/>
      </w:pPr>
      <w:hyperlink r:id="rId12" w:history="1">
        <w:r w:rsidR="00632121" w:rsidRPr="0051630D">
          <w:t>В ЯРОСЛАВСКОЙ ОБЛАСТИ НАРАСТЯТ ПРОИЗВОДСТВО СЫРОВ ПО ФРАНЦУЗСКОЙ ТЕХНОЛОГИИ</w:t>
        </w:r>
      </w:hyperlink>
    </w:p>
    <w:p w:rsidR="00632121" w:rsidRDefault="00632121" w:rsidP="00632121">
      <w:r>
        <w:t xml:space="preserve">ООО "Филимоново раздолье" в Ярославской области после масштабной реконструкции нарастит объемы производства сыров. На предприятие был приглашен эксперт из Франции для помощи в настройке производственного процесса. </w:t>
      </w:r>
    </w:p>
    <w:p w:rsidR="00632121" w:rsidRPr="00845B09" w:rsidRDefault="00632121" w:rsidP="00632121">
      <w:pPr>
        <w:rPr>
          <w:i/>
        </w:rPr>
      </w:pPr>
      <w:r>
        <w:t xml:space="preserve">ООО "Филимоново раздолье" использует французские технологии. В ходе реконструкции молочный завод полностью перепрофилировали под выпуск сыра. Теперь здесь установлено новое российское, белорусское, французское и итальянское оборудование. Для выбора оборудования и настройки всего производственного процесса был приглашен эксперт в сыроделии из Франции </w:t>
      </w:r>
      <w:proofErr w:type="spellStart"/>
      <w:r>
        <w:t>Патрис</w:t>
      </w:r>
      <w:proofErr w:type="spellEnd"/>
      <w:r>
        <w:t xml:space="preserve"> </w:t>
      </w:r>
      <w:proofErr w:type="spellStart"/>
      <w:r>
        <w:t>Норман</w:t>
      </w:r>
      <w:proofErr w:type="spellEnd"/>
      <w:r>
        <w:t xml:space="preserve">. Общий объем инвестиций в производство приближается к 100 млн рублей. </w:t>
      </w:r>
      <w:r w:rsidRPr="00CC7829">
        <w:rPr>
          <w:i/>
        </w:rPr>
        <w:t>Agro.ru</w:t>
      </w:r>
    </w:p>
    <w:p w:rsidR="00431614" w:rsidRPr="00431614" w:rsidRDefault="00F128D0" w:rsidP="00431614">
      <w:pPr>
        <w:pStyle w:val="a9"/>
      </w:pPr>
      <w:hyperlink r:id="rId13" w:history="1">
        <w:r w:rsidR="00431614" w:rsidRPr="00431614">
          <w:t>ЭКСПОРТ РОССИЙСКОЙ ПШЕНИЦЫ СНОВА РАСТЕТ В ЦЕНЕ</w:t>
        </w:r>
      </w:hyperlink>
    </w:p>
    <w:p w:rsidR="00431614" w:rsidRDefault="00431614" w:rsidP="00431614">
      <w:r>
        <w:t>Эксперты аналитической компании "</w:t>
      </w:r>
      <w:proofErr w:type="spellStart"/>
      <w:r>
        <w:t>Совэкон</w:t>
      </w:r>
      <w:proofErr w:type="spellEnd"/>
      <w:r>
        <w:t>" пришли к выводу, что</w:t>
      </w:r>
      <w:r w:rsidR="00AA2166">
        <w:t>,</w:t>
      </w:r>
      <w:r>
        <w:t xml:space="preserve"> несмотря на затяжное падение цен в течение последнего месяца, экспортные цены на российскую пшеницу снова выросли.</w:t>
      </w:r>
    </w:p>
    <w:p w:rsidR="00431614" w:rsidRPr="00520548" w:rsidRDefault="00431614" w:rsidP="00431614">
      <w:r>
        <w:t xml:space="preserve">"На прошлой неделе цены на российскую пшеницу с содержанием протеина 12,5% в глубоководных портах выросли на $3, до $247 за тонну вслед за мировыми биржами", - говорится в сообщении. </w:t>
      </w:r>
      <w:r w:rsidR="00520548" w:rsidRPr="00520548">
        <w:rPr>
          <w:i/>
        </w:rPr>
        <w:t>ТАСС,</w:t>
      </w:r>
      <w:r w:rsidR="00520548">
        <w:t xml:space="preserve"> </w:t>
      </w:r>
      <w:r w:rsidR="005F25CF">
        <w:rPr>
          <w:i/>
        </w:rPr>
        <w:t>Профиль</w:t>
      </w:r>
    </w:p>
    <w:p w:rsidR="00431614" w:rsidRPr="00431614" w:rsidRDefault="00F128D0" w:rsidP="00431614">
      <w:pPr>
        <w:pStyle w:val="a9"/>
      </w:pPr>
      <w:hyperlink r:id="rId14" w:history="1">
        <w:r w:rsidR="00431614" w:rsidRPr="00431614">
          <w:t>ФОНД "ИННОПРАКТИКА" ВЛОЖИТСЯ В АГРОПРОМЫШЛЕННЫЙ КОМПЛЕКС ТЮМЕНСКОЙ ОБЛАСТИ</w:t>
        </w:r>
      </w:hyperlink>
    </w:p>
    <w:p w:rsidR="00431614" w:rsidRPr="005F25CF" w:rsidRDefault="00431614" w:rsidP="00431614">
      <w:r>
        <w:t xml:space="preserve">Тюменской области предложена для реализации пилотная программа по проведению </w:t>
      </w:r>
      <w:proofErr w:type="spellStart"/>
      <w:r>
        <w:t>генотипирования</w:t>
      </w:r>
      <w:proofErr w:type="spellEnd"/>
      <w:r>
        <w:t xml:space="preserve"> крупного рогатого скота молочных пород и созданию </w:t>
      </w:r>
      <w:proofErr w:type="spellStart"/>
      <w:r>
        <w:t>референтной</w:t>
      </w:r>
      <w:proofErr w:type="spellEnd"/>
      <w:r>
        <w:t xml:space="preserve"> базы животных с достоверными фенотипическими и генотипическими данными. Представители фонда "Национальное интеллектуальное развитие" подписали соглашение о сотрудничестве с правительством Тюменской области.</w:t>
      </w:r>
      <w:r w:rsidR="005F25CF">
        <w:t xml:space="preserve"> </w:t>
      </w:r>
      <w:r w:rsidRPr="00286DF7">
        <w:rPr>
          <w:i/>
        </w:rPr>
        <w:t xml:space="preserve">ИА </w:t>
      </w:r>
      <w:proofErr w:type="spellStart"/>
      <w:r w:rsidRPr="00286DF7">
        <w:rPr>
          <w:i/>
        </w:rPr>
        <w:t>Regnum</w:t>
      </w:r>
      <w:proofErr w:type="spellEnd"/>
    </w:p>
    <w:p w:rsidR="00DA20EB" w:rsidRPr="0051630D" w:rsidRDefault="00F128D0" w:rsidP="00DA20EB">
      <w:pPr>
        <w:pStyle w:val="a9"/>
      </w:pPr>
      <w:hyperlink r:id="rId15" w:history="1">
        <w:r w:rsidR="00DA20EB" w:rsidRPr="0051630D">
          <w:t>РОССЕЛЬХОЗНАДЗОР ЗАПРЕТИЛ ВВОЗ СЕМЯН КУКУРУЗЫ С ОДНОГО ИЗ ПРЕДПРИЯТИЙ СЕРБИИ ИЗ-ЗА ГМО</w:t>
        </w:r>
      </w:hyperlink>
    </w:p>
    <w:p w:rsidR="00DA20EB" w:rsidRDefault="00DA20EB" w:rsidP="00DA20EB">
      <w:proofErr w:type="spellStart"/>
      <w:r w:rsidRPr="0051630D">
        <w:rPr>
          <w:b/>
        </w:rPr>
        <w:t>Россельхознадзор</w:t>
      </w:r>
      <w:proofErr w:type="spellEnd"/>
      <w:r>
        <w:t xml:space="preserve"> запретил сербской компании </w:t>
      </w:r>
      <w:proofErr w:type="spellStart"/>
      <w:r>
        <w:t>Genetics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doo</w:t>
      </w:r>
      <w:proofErr w:type="spellEnd"/>
      <w:r>
        <w:t xml:space="preserve"> поставки семян кукурузы из-за обнаружения в них ГМО-компонентов, сообщает пресс-служба ведомства.</w:t>
      </w:r>
    </w:p>
    <w:p w:rsidR="00C8396B" w:rsidRPr="00431614" w:rsidRDefault="00DA20EB" w:rsidP="00431614">
      <w:r>
        <w:t xml:space="preserve">Запрет будет действовать до окончания расследования этого случая, которое </w:t>
      </w:r>
      <w:proofErr w:type="spellStart"/>
      <w:r w:rsidRPr="0051630D">
        <w:rPr>
          <w:b/>
        </w:rPr>
        <w:t>Россельхознадзор</w:t>
      </w:r>
      <w:proofErr w:type="spellEnd"/>
      <w:r>
        <w:t xml:space="preserve"> попросил провести сербских коллег. Кроме того, им необходимо представить службе информацию о методах выявления ГМО-компонентов в растительной продукции в период ее вегетации и перед отправкой на экспорт.</w:t>
      </w:r>
      <w:r w:rsidR="005F25CF">
        <w:t xml:space="preserve"> </w:t>
      </w:r>
      <w:r w:rsidRPr="00D906DB">
        <w:rPr>
          <w:i/>
        </w:rPr>
        <w:t>MilkNews.ru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t>Новости экономики и власти</w:t>
      </w:r>
    </w:p>
    <w:p w:rsidR="00431614" w:rsidRPr="00431614" w:rsidRDefault="00431614" w:rsidP="00431614">
      <w:pPr>
        <w:pStyle w:val="a9"/>
      </w:pPr>
      <w:r w:rsidRPr="00431614">
        <w:t>Банк России может снова повысить ключевую ставку</w:t>
      </w:r>
    </w:p>
    <w:p w:rsidR="00431614" w:rsidRDefault="00431614" w:rsidP="00431614">
      <w:r>
        <w:t>Банк России в ближайшую пятницу снова повысит ключевую ставку, полагают опрошенные "РГ" аналитики. Интрига в том, как сильно она поднимется - то есть решит ли ЦБ форсировать запланированное повышение ставки из-за высокой инфляции и недавних санкций США на госдолг. Вслед за ставкой вырастут и проценты по новым кредитам и вкладам.</w:t>
      </w:r>
    </w:p>
    <w:p w:rsidR="00431614" w:rsidRPr="00425355" w:rsidRDefault="00431614" w:rsidP="00431614">
      <w:pPr>
        <w:rPr>
          <w:i/>
        </w:rPr>
      </w:pPr>
      <w:r>
        <w:t>Сейчас ключевая ставка составляет 4,5%, Банк России повысил ее (впервые с конца 2018 год</w:t>
      </w:r>
      <w:r w:rsidR="00D765DB">
        <w:t xml:space="preserve">а) до этого уровня месяц назад. </w:t>
      </w:r>
      <w:r w:rsidRPr="00425355">
        <w:rPr>
          <w:i/>
        </w:rPr>
        <w:t>Российская газета</w:t>
      </w:r>
    </w:p>
    <w:p w:rsidR="00DA20EB" w:rsidRPr="0051630D" w:rsidRDefault="00F128D0" w:rsidP="00DA20EB">
      <w:pPr>
        <w:pStyle w:val="a9"/>
      </w:pPr>
      <w:hyperlink r:id="rId16" w:history="1">
        <w:r w:rsidR="00DA20EB" w:rsidRPr="0051630D">
          <w:t>БИЗНЕС ПРОСИТ НАЛАДИТЬ СИСТЕМНУЮ РАБОТУ С ИНВЕСТОРАМИ ДЛЯ РОСТА ИХ АКТИВНОСТИ В РЕГИОНАХ</w:t>
        </w:r>
      </w:hyperlink>
    </w:p>
    <w:p w:rsidR="00DA20EB" w:rsidRDefault="00DA20EB" w:rsidP="00DA20EB">
      <w:r>
        <w:t xml:space="preserve">Единая инвестиционная карта страны позволит обратить внимание на регионы, где реализуется мало проектов и слабо работают с инвесторами, считают опрошенные ТАСС представители малого бизнеса, бизнес-объединений и эксперты. Сейчас, по их мнению, инвестиционную активность замедляет </w:t>
      </w:r>
      <w:proofErr w:type="spellStart"/>
      <w:r>
        <w:t>несистемность</w:t>
      </w:r>
      <w:proofErr w:type="spellEnd"/>
      <w:r>
        <w:t xml:space="preserve"> работы с инвесторами. Между тем необходима тщательно разработанная и продуманная до мелочей стратегия.</w:t>
      </w:r>
    </w:p>
    <w:p w:rsidR="00C8396B" w:rsidRDefault="00DA20EB" w:rsidP="00734A3A">
      <w:r>
        <w:t xml:space="preserve">В начале апреля состоялось первое заседание комиссии Госсовета РФ по инвестиционному направлению, на котором обсуждалось создание единой инвестиционной карты страны и прототип информационного портала поддержки </w:t>
      </w:r>
      <w:proofErr w:type="spellStart"/>
      <w:r>
        <w:t>инвестпроектов</w:t>
      </w:r>
      <w:proofErr w:type="spellEnd"/>
      <w:r>
        <w:t xml:space="preserve">. Первый заместитель председателя правительства и сопредседатель комиссии Андрей Белоусов отметил, что речь идет о создании универсальных правил осуществления инвестиционной деятельности на уровне субъектов РФ. Он также подчеркнул, что они должны быть понятными и простыми. </w:t>
      </w:r>
      <w:r w:rsidRPr="009E27A2">
        <w:rPr>
          <w:i/>
        </w:rPr>
        <w:t>ТАСС</w:t>
      </w:r>
      <w:bookmarkStart w:id="12" w:name="_GoBack"/>
      <w:bookmarkEnd w:id="11"/>
      <w:bookmarkEnd w:id="12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8D0" w:rsidRDefault="00F128D0">
      <w:r>
        <w:separator/>
      </w:r>
    </w:p>
  </w:endnote>
  <w:endnote w:type="continuationSeparator" w:id="0">
    <w:p w:rsidR="00F128D0" w:rsidRDefault="00F1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1476E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1476EA">
            <w:rPr>
              <w:rFonts w:cs="Arial"/>
              <w:color w:val="90989E"/>
              <w:sz w:val="16"/>
              <w:szCs w:val="16"/>
            </w:rPr>
            <w:t>20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1476E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1476EA" w:rsidRPr="001476EA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34A3A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1476EA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1476EA">
            <w:rPr>
              <w:rFonts w:cs="Arial"/>
              <w:color w:val="90989E"/>
              <w:sz w:val="16"/>
              <w:szCs w:val="16"/>
            </w:rPr>
            <w:t>0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B4B1F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1476EA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34A3A">
            <w:rPr>
              <w:rStyle w:val="a7"/>
              <w:rFonts w:cs="Arial"/>
              <w:b/>
              <w:noProof/>
              <w:color w:val="FFFFFF"/>
              <w:szCs w:val="18"/>
            </w:rPr>
            <w:t>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8D0" w:rsidRDefault="00F128D0">
      <w:r>
        <w:separator/>
      </w:r>
    </w:p>
  </w:footnote>
  <w:footnote w:type="continuationSeparator" w:id="0">
    <w:p w:rsidR="00F128D0" w:rsidRDefault="00F1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4CB871D2" wp14:editId="5AF3545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3" name="Рисунок 2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614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75948" wp14:editId="03290A88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7564EEE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1614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0BE2F0E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4"/>
    <w:rsid w:val="0003491F"/>
    <w:rsid w:val="00066C93"/>
    <w:rsid w:val="00067111"/>
    <w:rsid w:val="000B69A0"/>
    <w:rsid w:val="00136E1E"/>
    <w:rsid w:val="001476EA"/>
    <w:rsid w:val="001606D8"/>
    <w:rsid w:val="00190BD8"/>
    <w:rsid w:val="00195925"/>
    <w:rsid w:val="001A3032"/>
    <w:rsid w:val="001F35EF"/>
    <w:rsid w:val="00270257"/>
    <w:rsid w:val="002C0E41"/>
    <w:rsid w:val="002E5101"/>
    <w:rsid w:val="003058E2"/>
    <w:rsid w:val="00367E95"/>
    <w:rsid w:val="003C3C67"/>
    <w:rsid w:val="003D6339"/>
    <w:rsid w:val="004304C8"/>
    <w:rsid w:val="00431614"/>
    <w:rsid w:val="004F0E7A"/>
    <w:rsid w:val="00520548"/>
    <w:rsid w:val="005233A0"/>
    <w:rsid w:val="005240C2"/>
    <w:rsid w:val="0056518E"/>
    <w:rsid w:val="00577A29"/>
    <w:rsid w:val="005A3FA8"/>
    <w:rsid w:val="005B79BE"/>
    <w:rsid w:val="005F233B"/>
    <w:rsid w:val="005F25CF"/>
    <w:rsid w:val="005F3758"/>
    <w:rsid w:val="00604F1E"/>
    <w:rsid w:val="00632121"/>
    <w:rsid w:val="006A2F9B"/>
    <w:rsid w:val="006D49BF"/>
    <w:rsid w:val="00734A3A"/>
    <w:rsid w:val="0074571A"/>
    <w:rsid w:val="00750476"/>
    <w:rsid w:val="007910D0"/>
    <w:rsid w:val="007A43DF"/>
    <w:rsid w:val="007F0AB1"/>
    <w:rsid w:val="0081272B"/>
    <w:rsid w:val="00845B09"/>
    <w:rsid w:val="00880679"/>
    <w:rsid w:val="008E6BA6"/>
    <w:rsid w:val="00971D78"/>
    <w:rsid w:val="00984C31"/>
    <w:rsid w:val="00985DA8"/>
    <w:rsid w:val="009B4B1F"/>
    <w:rsid w:val="009B6FFB"/>
    <w:rsid w:val="009E3911"/>
    <w:rsid w:val="009F1FAB"/>
    <w:rsid w:val="00A12D82"/>
    <w:rsid w:val="00AA2166"/>
    <w:rsid w:val="00AC3EC4"/>
    <w:rsid w:val="00AD0F1C"/>
    <w:rsid w:val="00B53C40"/>
    <w:rsid w:val="00B922A1"/>
    <w:rsid w:val="00BC4068"/>
    <w:rsid w:val="00C14B74"/>
    <w:rsid w:val="00C14EA4"/>
    <w:rsid w:val="00C3487C"/>
    <w:rsid w:val="00C64CF7"/>
    <w:rsid w:val="00C8396B"/>
    <w:rsid w:val="00C87324"/>
    <w:rsid w:val="00C90FBF"/>
    <w:rsid w:val="00CD11C2"/>
    <w:rsid w:val="00CD2DDE"/>
    <w:rsid w:val="00CD5A45"/>
    <w:rsid w:val="00D413A6"/>
    <w:rsid w:val="00D52CCC"/>
    <w:rsid w:val="00D765DB"/>
    <w:rsid w:val="00D91077"/>
    <w:rsid w:val="00DA20EB"/>
    <w:rsid w:val="00E12208"/>
    <w:rsid w:val="00E4368A"/>
    <w:rsid w:val="00E66580"/>
    <w:rsid w:val="00EA7B65"/>
    <w:rsid w:val="00EC3103"/>
    <w:rsid w:val="00F128D0"/>
    <w:rsid w:val="00F2416A"/>
    <w:rsid w:val="00F62502"/>
    <w:rsid w:val="00F65057"/>
    <w:rsid w:val="00FB1DE4"/>
    <w:rsid w:val="00FB4A70"/>
    <w:rsid w:val="00FC4705"/>
    <w:rsid w:val="00FC7700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945C9D-308A-49D7-9C25-DA65E5D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34A3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4A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743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854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15823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2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286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8083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164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23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89152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89456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3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56645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81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488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78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673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2230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49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564639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992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20429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2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75854">
              <w:marLeft w:val="0"/>
              <w:marRight w:val="0"/>
              <w:marTop w:val="13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857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2739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476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18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030">
          <w:marLeft w:val="0"/>
          <w:marRight w:val="0"/>
          <w:marTop w:val="0"/>
          <w:marBottom w:val="18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15" w:color="auto"/>
          </w:divBdr>
        </w:div>
        <w:div w:id="2137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ofile.ru/news/economy/eksport-rossijskoj-pshenicy-snova-rastet-v-cene-853724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ass.ru/ekonomika/11189443" TargetMode="External"/><Relationship Id="rId12" Type="http://schemas.openxmlformats.org/officeDocument/2006/relationships/hyperlink" Target="https://agro.ru/news/35104-v-yaroslavskoi-oblasti-narastyat-proizvodstvo-syrov-po-francuzskoi-tehnologi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tass.ru/msp/1118336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bc.ru/rbcfreenews/607d84f49a7947c6ade365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lknews.ru/index/serbiya-kukuruza-rskhn.html" TargetMode="External"/><Relationship Id="rId10" Type="http://schemas.openxmlformats.org/officeDocument/2006/relationships/hyperlink" Target="https://tass.ru/ekonomika/1119190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gnum.ru/news/3247123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60</TotalTime>
  <Pages>4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14</cp:revision>
  <cp:lastPrinted>2021-04-20T12:08:00Z</cp:lastPrinted>
  <dcterms:created xsi:type="dcterms:W3CDTF">2021-04-20T05:03:00Z</dcterms:created>
  <dcterms:modified xsi:type="dcterms:W3CDTF">2021-04-20T12:08:00Z</dcterms:modified>
</cp:coreProperties>
</file>