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2F6CC9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21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22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 w:rsidP="00744B8D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</w:pPr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2F6CC9" w:rsidP="002F6CC9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22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263297">
              <w:rPr>
                <w:rFonts w:cs="Arial"/>
                <w:color w:val="FFFFFF"/>
                <w:sz w:val="28"/>
                <w:szCs w:val="28"/>
              </w:rPr>
              <w:t>февраля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4" w:name="SEC_2"/>
          </w:p>
          <w:p w:rsidR="00FA6126" w:rsidRDefault="00FA6126" w:rsidP="00FA6126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FA6126" w:rsidRPr="00A47BA9" w:rsidRDefault="00FA6126" w:rsidP="0082054B"/>
          <w:p w:rsidR="0082054B" w:rsidRPr="00A47BA9" w:rsidRDefault="0082054B" w:rsidP="0082054B">
            <w:r w:rsidRPr="00A47BA9">
              <w:t>23 февраля</w:t>
            </w:r>
            <w:r w:rsidR="00480D88">
              <w:t xml:space="preserve"> - </w:t>
            </w:r>
            <w:r w:rsidRPr="00A47BA9">
              <w:t>День защитника Отечества в России</w:t>
            </w:r>
            <w:r w:rsidR="00480D88">
              <w:t>.</w:t>
            </w:r>
          </w:p>
          <w:p w:rsidR="0082054B" w:rsidRPr="00A47BA9" w:rsidRDefault="0082054B" w:rsidP="0082054B"/>
          <w:p w:rsidR="00C8396B" w:rsidRPr="0082054B" w:rsidRDefault="00C8396B" w:rsidP="0082054B"/>
          <w:bookmarkEnd w:id="4"/>
          <w:p w:rsidR="00C8396B" w:rsidRDefault="00C8396B" w:rsidP="0082054B">
            <w:pPr>
              <w:jc w:val="left"/>
            </w:pPr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82054B" w:rsidRDefault="003F6C14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p w:rsidR="00480D88" w:rsidRPr="0082054B" w:rsidRDefault="00651B3A" w:rsidP="00480D88">
            <w:pPr>
              <w:pStyle w:val="a9"/>
            </w:pPr>
            <w:hyperlink r:id="rId7" w:history="1">
              <w:r w:rsidR="00480D88" w:rsidRPr="0082054B">
                <w:t>ПРОИЗВОДИТЕЛИ ЗАФИКСИРОВАЛИ ОТПУСКНЫЕ ЦЕНЫ НА САХАР ДО 31 ИЮЛЯ НА УРОВНЕ 47 РУБЛЕЙ ЗА КИЛОГРАММ</w:t>
              </w:r>
            </w:hyperlink>
          </w:p>
          <w:p w:rsidR="00480D88" w:rsidRDefault="00480D88" w:rsidP="00480D88">
            <w:r>
              <w:t xml:space="preserve">Крупнейшие производители сахара в соответствии с рекомендациями ФАС и </w:t>
            </w:r>
            <w:r w:rsidRPr="0082054B">
              <w:rPr>
                <w:b/>
              </w:rPr>
              <w:t>Минсельхоза</w:t>
            </w:r>
            <w:r>
              <w:t xml:space="preserve"> зафиксировали отпускные цены на уровне 47 рублей за килограмм до 31 июля 2022 года, сообщает пресс-служба </w:t>
            </w:r>
            <w:r w:rsidRPr="0082054B">
              <w:rPr>
                <w:b/>
              </w:rPr>
              <w:t>Минсельхоза РФ</w:t>
            </w:r>
            <w:r>
              <w:t>.</w:t>
            </w:r>
          </w:p>
          <w:p w:rsidR="00480D88" w:rsidRDefault="00480D88" w:rsidP="00480D88">
            <w:r>
              <w:t xml:space="preserve">"В соответствии с рекомендациями к торговым политикам производителей сахара, подготовленными </w:t>
            </w:r>
            <w:r w:rsidRPr="0082054B">
              <w:rPr>
                <w:b/>
              </w:rPr>
              <w:t>Минсельхозом</w:t>
            </w:r>
            <w:r>
              <w:t xml:space="preserve"> совместно с ФАС России, 20 агрохолдингов зафиксировали отпускные цены для продажи продукции в розницу. Большинством производителей принято решение о фиксации цен на уровне 47 рублей за килограмм до 31 июля 2022 года включительно", - говорится в сообщении.</w:t>
            </w:r>
          </w:p>
          <w:p w:rsidR="00C8396B" w:rsidRPr="00480D88" w:rsidRDefault="00480D88" w:rsidP="00480D88">
            <w:pPr>
              <w:rPr>
                <w:i/>
              </w:rPr>
            </w:pPr>
            <w:r>
              <w:t>Ведомство отмечает, что в совокупности эти производители обеспечивают 93% производимого в стране сахара.</w:t>
            </w:r>
            <w:r w:rsidR="00F716F3">
              <w:t xml:space="preserve"> </w:t>
            </w:r>
            <w:r w:rsidR="00F716F3" w:rsidRPr="00F716F3">
              <w:rPr>
                <w:i/>
              </w:rPr>
              <w:t>Россия 24,</w:t>
            </w:r>
            <w:r w:rsidR="00F716F3">
              <w:rPr>
                <w:i/>
              </w:rPr>
              <w:t xml:space="preserve"> </w:t>
            </w:r>
            <w:r w:rsidRPr="00CF0454">
              <w:rPr>
                <w:i/>
              </w:rPr>
              <w:t>ПР</w:t>
            </w:r>
            <w:r>
              <w:rPr>
                <w:i/>
              </w:rPr>
              <w:t xml:space="preserve">АЙМ, ТАСС, Интерфакс, РИА Новости, Российская газета, ОТР, Аргументы и Факты, </w:t>
            </w:r>
            <w:r w:rsidRPr="00CF0454">
              <w:rPr>
                <w:i/>
              </w:rPr>
              <w:t>Ведомости</w:t>
            </w:r>
            <w:r>
              <w:rPr>
                <w:i/>
              </w:rPr>
              <w:t xml:space="preserve">, Эксперт, Коммерсантъ, Комсомольская правда, </w:t>
            </w:r>
            <w:r w:rsidRPr="00CF0454">
              <w:rPr>
                <w:i/>
              </w:rPr>
              <w:t>MilkNews.ru</w:t>
            </w:r>
            <w:bookmarkEnd w:id="5"/>
          </w:p>
        </w:tc>
      </w:tr>
    </w:tbl>
    <w:p w:rsidR="00C8396B" w:rsidRDefault="00C8396B">
      <w:pPr>
        <w:jc w:val="left"/>
        <w:sectPr w:rsidR="00C8396B">
          <w:headerReference w:type="default" r:id="rId8"/>
          <w:footerReference w:type="default" r:id="rId9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bookmarkStart w:id="8" w:name="SEC_3"/>
    <w:p w:rsidR="00FB522B" w:rsidRPr="00360E47" w:rsidRDefault="00FB522B" w:rsidP="00FB522B">
      <w:pPr>
        <w:pStyle w:val="a9"/>
        <w:spacing w:before="0"/>
      </w:pPr>
      <w:r>
        <w:lastRenderedPageBreak/>
        <w:fldChar w:fldCharType="begin"/>
      </w:r>
      <w:r>
        <w:instrText xml:space="preserve"> HYPERLINK "https://iz.ru/1293665/dmitrii-alekseev/gruppa-riska-podorozhaiut-li-moloko-khleb-ovoshchi-i-sakhar" </w:instrText>
      </w:r>
      <w:r>
        <w:fldChar w:fldCharType="separate"/>
      </w:r>
      <w:r w:rsidRPr="00360E47">
        <w:t>ГРУППА РИСКА: ПОДОРОЖАЮТ ЛИ МОЛОКО, ХЛЕБ, ОВОЩИ И САХАР</w:t>
      </w:r>
      <w:r>
        <w:fldChar w:fldCharType="end"/>
      </w:r>
    </w:p>
    <w:p w:rsidR="00FB522B" w:rsidRDefault="00FB522B" w:rsidP="00FB522B">
      <w:r>
        <w:t xml:space="preserve">Первый заместитель министра сельского хозяйства </w:t>
      </w:r>
      <w:r w:rsidRPr="00360E47">
        <w:rPr>
          <w:b/>
        </w:rPr>
        <w:t xml:space="preserve">Оксана </w:t>
      </w:r>
      <w:proofErr w:type="spellStart"/>
      <w:r w:rsidRPr="00360E47">
        <w:rPr>
          <w:b/>
        </w:rPr>
        <w:t>Лут</w:t>
      </w:r>
      <w:proofErr w:type="spellEnd"/>
      <w:r>
        <w:t xml:space="preserve"> в ходе парламентских слушаний о госрегулировании ценообразования для АПК выделила четыре товарные "группы риска", по которым ожидается рост цен: это молоко и молочная продукция, хлеб, сахар и овощи. Однако принимаемые сейчас меры позволят минимизировать риски существенного удорожания социально значимых продуктов у производителей, разъяснили "Известиям" в министерстве. </w:t>
      </w:r>
    </w:p>
    <w:p w:rsidR="00FB522B" w:rsidRDefault="00FB522B" w:rsidP="00FB522B">
      <w:r>
        <w:t xml:space="preserve"> - Динамика цен на овощи характеризуется высокой волатильностью и зависит в первую очередь от объемов урожая, - объясняют в пресс-службе </w:t>
      </w:r>
      <w:r w:rsidRPr="00360E47">
        <w:rPr>
          <w:b/>
        </w:rPr>
        <w:t>Минсельхоза</w:t>
      </w:r>
      <w:r>
        <w:t xml:space="preserve">. - В свою очередь ценовая ситуация традиционно оказывает влияние на структуру посевных площадей - при росте цен аграрии расширяют площади, а при снижении сокращают сев. </w:t>
      </w:r>
    </w:p>
    <w:p w:rsidR="00FB522B" w:rsidRDefault="00FB522B" w:rsidP="00FB522B">
      <w:r>
        <w:t>По словам сотрудников министерства, для стабилизации цен на овощи в настоящее время предпринимается комплекс мер, направленных как на увеличение производства, так и совершенствование сбытовой цепи. Так, в 2022 году планируется существенное увеличение посевных площадей под овощами открытого грунта, а также ожидается сохранение позитивной динамики в тепличном овощеводстве.</w:t>
      </w:r>
    </w:p>
    <w:p w:rsidR="00FB522B" w:rsidRPr="00D17DC7" w:rsidRDefault="00FB522B" w:rsidP="00D17DC7">
      <w:pPr>
        <w:rPr>
          <w:i/>
        </w:rPr>
      </w:pPr>
      <w:r>
        <w:t xml:space="preserve">Как рассказали в </w:t>
      </w:r>
      <w:r w:rsidRPr="00360E47">
        <w:rPr>
          <w:b/>
        </w:rPr>
        <w:t>Минсельхозе</w:t>
      </w:r>
      <w:r>
        <w:t xml:space="preserve">, в настоящее время ведется работа над отдельным федеральным проектом, предусматривающим комплекс мероприятий по увеличению производства овощей и картофеля, а также организации инфраструктуры их хранения и реализации. Кроме того, впервые появится господдержка личных подсобных хозяйств, обеспечивающих основную долю производства овощей и картофеля в нашей стране. </w:t>
      </w:r>
      <w:r>
        <w:rPr>
          <w:i/>
        </w:rPr>
        <w:t xml:space="preserve">Известия </w:t>
      </w:r>
    </w:p>
    <w:p w:rsidR="00D17DC7" w:rsidRDefault="00D17DC7" w:rsidP="00D17DC7">
      <w:pPr>
        <w:pStyle w:val="a9"/>
      </w:pPr>
      <w:r>
        <w:t>АГРОТУРИЗМ В РОССИИ: ОТ ГРАНТОВ ДО НАЦИОНАЛЬНЫХ МАРШРУТОВ</w:t>
      </w:r>
    </w:p>
    <w:p w:rsidR="00D17DC7" w:rsidRPr="00D17DC7" w:rsidRDefault="00D17DC7" w:rsidP="00D17DC7">
      <w:r w:rsidRPr="00D17DC7">
        <w:t>В 2022 году впервые гранты на развитие сельского тур</w:t>
      </w:r>
      <w:r>
        <w:t>изма получат около 50 проектов.</w:t>
      </w:r>
    </w:p>
    <w:p w:rsidR="00D17DC7" w:rsidRPr="00D17DC7" w:rsidRDefault="00D17DC7" w:rsidP="00D17DC7">
      <w:r w:rsidRPr="00D17DC7">
        <w:t xml:space="preserve">Как рассказала директор Департамента развития сельских территорий </w:t>
      </w:r>
      <w:r w:rsidRPr="00D17DC7">
        <w:rPr>
          <w:b/>
        </w:rPr>
        <w:t xml:space="preserve">Минсельхоза РФ Ксения </w:t>
      </w:r>
      <w:proofErr w:type="spellStart"/>
      <w:r w:rsidRPr="00D17DC7">
        <w:rPr>
          <w:b/>
        </w:rPr>
        <w:t>Шевёлкина</w:t>
      </w:r>
      <w:proofErr w:type="spellEnd"/>
      <w:r w:rsidRPr="00D17DC7">
        <w:rPr>
          <w:b/>
        </w:rPr>
        <w:t>,</w:t>
      </w:r>
      <w:r w:rsidRPr="00D17DC7">
        <w:t xml:space="preserve"> совокупный объем поддержки из федерального бюджета составит 300 млн</w:t>
      </w:r>
      <w:r>
        <w:t xml:space="preserve"> рублей.</w:t>
      </w:r>
    </w:p>
    <w:p w:rsidR="00D17DC7" w:rsidRPr="00D17DC7" w:rsidRDefault="00D17DC7" w:rsidP="00D17DC7">
      <w:r w:rsidRPr="00D17DC7">
        <w:t xml:space="preserve">«Это неплохой старт. В 2021 году для участия в конкурсе на предоставление грантов поступило более 270 заявок», – отметила г-жа </w:t>
      </w:r>
      <w:proofErr w:type="spellStart"/>
      <w:r w:rsidRPr="00D17DC7">
        <w:rPr>
          <w:b/>
        </w:rPr>
        <w:t>Шевёлкина</w:t>
      </w:r>
      <w:proofErr w:type="spellEnd"/>
      <w:r>
        <w:t>.</w:t>
      </w:r>
    </w:p>
    <w:p w:rsidR="00D17DC7" w:rsidRPr="00D17DC7" w:rsidRDefault="00D17DC7" w:rsidP="00D17DC7">
      <w:r w:rsidRPr="00D17DC7">
        <w:t>Средства «</w:t>
      </w:r>
      <w:proofErr w:type="spellStart"/>
      <w:r w:rsidRPr="00D17DC7">
        <w:t>агротуристического</w:t>
      </w:r>
      <w:proofErr w:type="spellEnd"/>
      <w:r w:rsidRPr="00D17DC7">
        <w:t>» гранта могут быть направлены на создание объектов размещения туристов, на их подключение к инженерным коммуникациям, монтаж и приобретение туристического оборудования, проведение работ по благоустройству территории. Если это строительство и модернизация инфраструктуры, то земельный участок обязательно должен быть с со</w:t>
      </w:r>
      <w:r>
        <w:t>ответствующим видом разрешения.</w:t>
      </w:r>
    </w:p>
    <w:p w:rsidR="00D17DC7" w:rsidRPr="00D17DC7" w:rsidRDefault="00D17DC7" w:rsidP="00D17DC7">
      <w:r w:rsidRPr="00D17DC7">
        <w:t>Среди основных критериев отбора проектов – понятные сроки окупаемости, обязательная доля собственных средств, наличие у заявителя опыта в развитии бизнеса и проектов подо</w:t>
      </w:r>
      <w:r>
        <w:t>бной тематики и другие аспекты.</w:t>
      </w:r>
    </w:p>
    <w:p w:rsidR="00D17DC7" w:rsidRPr="00D17DC7" w:rsidRDefault="00D17DC7" w:rsidP="00D17DC7">
      <w:pPr>
        <w:rPr>
          <w:i/>
        </w:rPr>
      </w:pPr>
      <w:r w:rsidRPr="00D17DC7">
        <w:t>«Основной показатель проекта – рост сельхозпроизводства благодаря предоставлению туристических услуг. Это ключев</w:t>
      </w:r>
      <w:r>
        <w:t xml:space="preserve">ое», – отметила г-жа </w:t>
      </w:r>
      <w:proofErr w:type="spellStart"/>
      <w:r w:rsidRPr="000D0D16">
        <w:rPr>
          <w:b/>
        </w:rPr>
        <w:t>Шевёлкина</w:t>
      </w:r>
      <w:proofErr w:type="spellEnd"/>
      <w:r w:rsidRPr="000D0D16">
        <w:rPr>
          <w:b/>
        </w:rPr>
        <w:t>.</w:t>
      </w:r>
      <w:r>
        <w:t xml:space="preserve"> </w:t>
      </w:r>
      <w:r w:rsidRPr="00D17DC7">
        <w:rPr>
          <w:i/>
        </w:rPr>
        <w:t>АТОР</w:t>
      </w:r>
    </w:p>
    <w:p w:rsidR="00D17DC7" w:rsidRDefault="00D17DC7" w:rsidP="00D17DC7">
      <w:pPr>
        <w:pStyle w:val="a9"/>
        <w:spacing w:before="0"/>
      </w:pPr>
    </w:p>
    <w:p w:rsidR="00480D88" w:rsidRPr="0082054B" w:rsidRDefault="00480D88" w:rsidP="00D17DC7">
      <w:pPr>
        <w:pStyle w:val="a9"/>
        <w:spacing w:before="0"/>
      </w:pPr>
      <w:r w:rsidRPr="0082054B">
        <w:t>КАМБАЛУ ГРУЗЯТ В КОНТЕЙНЕРЫ</w:t>
      </w:r>
    </w:p>
    <w:p w:rsidR="00480D88" w:rsidRDefault="00480D88" w:rsidP="00480D88">
      <w:r>
        <w:t>Владельцы рефрижераторных контейнеров предлагают властям субсидирование перевозки по железной дороге сельди и камбалы с Дальнего Востока в центр страны. Сейчас государство компенсирует только транспортировку минтая. Сами рыбопромышленники считают, что для снижения розничных цен необходимо компенсировать затраты на доставку всех видов рыбы, включая консервы.</w:t>
      </w:r>
    </w:p>
    <w:p w:rsidR="00480D88" w:rsidRPr="00480D88" w:rsidRDefault="00480D88" w:rsidP="00480D88">
      <w:r>
        <w:t xml:space="preserve">В </w:t>
      </w:r>
      <w:r w:rsidRPr="0082054B">
        <w:rPr>
          <w:b/>
        </w:rPr>
        <w:t>Минсельхозе</w:t>
      </w:r>
      <w:r>
        <w:t xml:space="preserve"> подтвердили "Ъ" получение письма, добавив, что вопрос прорабатывается с Росрыболовством. В Росрыболовстве заявили, что в конце 2021 года направили в </w:t>
      </w:r>
      <w:r w:rsidRPr="0082054B">
        <w:rPr>
          <w:b/>
        </w:rPr>
        <w:t>Минсельхоз</w:t>
      </w:r>
      <w:r>
        <w:t xml:space="preserve"> проект расширения перечня рыбной продукции по льготным тарифам и этот механизм предложено сделать бессрочным. </w:t>
      </w:r>
      <w:r w:rsidRPr="00CF0454">
        <w:rPr>
          <w:i/>
        </w:rPr>
        <w:t>Коммерсантъ</w:t>
      </w:r>
    </w:p>
    <w:p w:rsidR="00FB522B" w:rsidRPr="0082054B" w:rsidRDefault="00651B3A" w:rsidP="00FB522B">
      <w:pPr>
        <w:pStyle w:val="a9"/>
      </w:pPr>
      <w:hyperlink r:id="rId10" w:history="1">
        <w:r w:rsidR="00FB522B" w:rsidRPr="0082054B">
          <w:t>ЗВЕРИНЫЙ НАКАЛ: В РОССИИ ПРЕДЛОЖИЛИ ВВЕСТИ МАРКИРОВКУ ВЕТПРЕПАРАТОВ</w:t>
        </w:r>
      </w:hyperlink>
    </w:p>
    <w:p w:rsidR="00A26751" w:rsidRDefault="00FB522B" w:rsidP="00FB522B">
      <w:proofErr w:type="spellStart"/>
      <w:r>
        <w:t>Россельхознадзор</w:t>
      </w:r>
      <w:proofErr w:type="spellEnd"/>
      <w:r>
        <w:t xml:space="preserve"> предложил сделать обязательной маркировку ветеринарных препаратов. С таким обращением ведомство обратилось в </w:t>
      </w:r>
      <w:r w:rsidRPr="0082054B">
        <w:rPr>
          <w:b/>
        </w:rPr>
        <w:t>Минсельхоз</w:t>
      </w:r>
      <w:r>
        <w:t xml:space="preserve">. По мнению авторов инициативы, это поможет создать </w:t>
      </w:r>
      <w:proofErr w:type="spellStart"/>
      <w:r>
        <w:t>прослеживаемость</w:t>
      </w:r>
      <w:proofErr w:type="spellEnd"/>
      <w:r>
        <w:t xml:space="preserve"> применения </w:t>
      </w:r>
      <w:proofErr w:type="spellStart"/>
      <w:r>
        <w:t>ветпрепаратов</w:t>
      </w:r>
      <w:proofErr w:type="spellEnd"/>
      <w:r>
        <w:t xml:space="preserve"> и снизить число контрафактной продукции на этом рынке. </w:t>
      </w:r>
      <w:r w:rsidR="00714B6C">
        <w:t xml:space="preserve">Внедрение маркировки не повлечет за собой удорожания продукции, полагают в парламенте. Кроме того, там отметили, что предпринимаемые меры позволят снизить риски и для здоровья людей. </w:t>
      </w:r>
    </w:p>
    <w:p w:rsidR="00FB522B" w:rsidRDefault="00FB522B" w:rsidP="00FB522B">
      <w:r>
        <w:t xml:space="preserve">В </w:t>
      </w:r>
      <w:r w:rsidRPr="0082054B">
        <w:rPr>
          <w:b/>
        </w:rPr>
        <w:t>Минсельхозе</w:t>
      </w:r>
      <w:r>
        <w:t xml:space="preserve"> "Известиям" подтвердили, что получили </w:t>
      </w:r>
      <w:proofErr w:type="spellStart"/>
      <w:proofErr w:type="gramStart"/>
      <w:r>
        <w:t>предложение.</w:t>
      </w:r>
      <w:r w:rsidRPr="00FB522B">
        <w:t>«</w:t>
      </w:r>
      <w:proofErr w:type="gramEnd"/>
      <w:r w:rsidRPr="00FB522B">
        <w:t>Минсельхоз</w:t>
      </w:r>
      <w:proofErr w:type="spellEnd"/>
      <w:r w:rsidRPr="00FB522B">
        <w:t xml:space="preserve"> России получил письмо </w:t>
      </w:r>
      <w:proofErr w:type="spellStart"/>
      <w:r w:rsidRPr="00FB522B">
        <w:t>Россельхознадзора</w:t>
      </w:r>
      <w:proofErr w:type="spellEnd"/>
      <w:r w:rsidRPr="00FB522B">
        <w:t xml:space="preserve"> о целесообразности маркировки лекарственных препаратов для ветеринарного применения и проработает данный вопрос совместно со службой», — рассказали «Известиям» в министерстве.</w:t>
      </w:r>
    </w:p>
    <w:p w:rsidR="00FB522B" w:rsidRPr="00FB522B" w:rsidRDefault="00FB522B" w:rsidP="00FB522B">
      <w:r w:rsidRPr="00CF0454">
        <w:rPr>
          <w:i/>
        </w:rPr>
        <w:t xml:space="preserve">Известия </w:t>
      </w:r>
    </w:p>
    <w:p w:rsidR="00FB522B" w:rsidRPr="0082054B" w:rsidRDefault="00651B3A" w:rsidP="00FB522B">
      <w:pPr>
        <w:pStyle w:val="a9"/>
      </w:pPr>
      <w:hyperlink r:id="rId11" w:history="1">
        <w:r w:rsidR="00FB522B" w:rsidRPr="0082054B">
          <w:t>МИНСЕЛЬХОЗ: РОССИЯ В 2020-2021 СЕЛЬХОЗГОДУ ЭКСПОРТИРОВАЛА 49,2 МИЛЛИОНА ТОНН ЗЕРНА</w:t>
        </w:r>
      </w:hyperlink>
    </w:p>
    <w:p w:rsidR="00FB522B" w:rsidRDefault="00FB522B" w:rsidP="00FB522B">
      <w:r>
        <w:t xml:space="preserve">Россия в 2020-2021 сельскохозяйственном году (закончился 30 июня 2021 года) экспортировала 49,2 миллиона тонн зерна, из них пшеницы - 38,1 миллиона тонн, сообщили РИА Новости в пресс-службе </w:t>
      </w:r>
      <w:r w:rsidRPr="0082054B">
        <w:rPr>
          <w:b/>
        </w:rPr>
        <w:t>Минсельхоза</w:t>
      </w:r>
      <w:r>
        <w:t>.</w:t>
      </w:r>
    </w:p>
    <w:p w:rsidR="00A26751" w:rsidRPr="003B199D" w:rsidRDefault="00FB522B" w:rsidP="00A26751">
      <w:pPr>
        <w:rPr>
          <w:i/>
        </w:rPr>
      </w:pPr>
      <w:r>
        <w:t xml:space="preserve">По прогнозу </w:t>
      </w:r>
      <w:r w:rsidRPr="0082054B">
        <w:rPr>
          <w:b/>
        </w:rPr>
        <w:t>Минсельхоза</w:t>
      </w:r>
      <w:r>
        <w:t xml:space="preserve">, озвученному ранее, экспорт зерна в 2021-2022 сельскохозяйственном году (с 1 июля 2021 по 30 июня 2022 года) оценивался в 45-48 миллионов тонн. Прогноза поставок пшеницы на экспорт </w:t>
      </w:r>
      <w:r w:rsidRPr="0082054B">
        <w:rPr>
          <w:b/>
        </w:rPr>
        <w:t>Минсельхоз</w:t>
      </w:r>
      <w:r>
        <w:t xml:space="preserve"> ранее не давал. </w:t>
      </w:r>
      <w:r w:rsidRPr="00CF0454">
        <w:rPr>
          <w:i/>
        </w:rPr>
        <w:t>ПРАЙМ</w:t>
      </w:r>
    </w:p>
    <w:p w:rsidR="00722F18" w:rsidRPr="0082054B" w:rsidRDefault="00722F18" w:rsidP="00722F18">
      <w:pPr>
        <w:pStyle w:val="a9"/>
      </w:pPr>
      <w:r w:rsidRPr="0082054B">
        <w:t>КРАБЫ ПОЗВОЛИЛИ ЕВРОПЕ ОБОЙТИ КИТАЙ</w:t>
      </w:r>
    </w:p>
    <w:p w:rsidR="00722F18" w:rsidRDefault="00722F18" w:rsidP="00722F18">
      <w:proofErr w:type="spellStart"/>
      <w:r>
        <w:t>Eвросоюз</w:t>
      </w:r>
      <w:proofErr w:type="spellEnd"/>
      <w:r>
        <w:t xml:space="preserve"> по итогам 2021 года обогнал Китай по закупкам российского продовольствия. Рост экспорта в EС обеспечили в первую очередь подорожавшие крабы и </w:t>
      </w:r>
      <w:r w:rsidRPr="0082054B">
        <w:rPr>
          <w:b/>
        </w:rPr>
        <w:t>зерно</w:t>
      </w:r>
      <w:r>
        <w:t>. Поставки же в Китай просели из-за закрытия портов для российской рыбы.</w:t>
      </w:r>
    </w:p>
    <w:p w:rsidR="00722F18" w:rsidRPr="00D96790" w:rsidRDefault="00722F18" w:rsidP="00722F18">
      <w:pPr>
        <w:rPr>
          <w:i/>
        </w:rPr>
      </w:pPr>
      <w:r>
        <w:t xml:space="preserve">Крупнейшим покупателем российского продовольствия в 2021 году стали страны </w:t>
      </w:r>
      <w:proofErr w:type="spellStart"/>
      <w:r>
        <w:t>Eвросоюза</w:t>
      </w:r>
      <w:proofErr w:type="spellEnd"/>
      <w:r>
        <w:t>, следует из данных фе</w:t>
      </w:r>
      <w:r w:rsidR="00046E29">
        <w:t>дерального центра "</w:t>
      </w:r>
      <w:proofErr w:type="spellStart"/>
      <w:r w:rsidR="00046E29">
        <w:t>Агроэкспорт</w:t>
      </w:r>
      <w:proofErr w:type="spellEnd"/>
      <w:r w:rsidR="00046E29">
        <w:t xml:space="preserve">". </w:t>
      </w:r>
      <w:r>
        <w:t xml:space="preserve">В прошлом году EС закупил у России продукции агропромышленного комплекса </w:t>
      </w:r>
      <w:r>
        <w:lastRenderedPageBreak/>
        <w:t xml:space="preserve">на $4,7 млрд, что на 41% больше, чем в 2020-м, и сместил с первой строчки прежнего лидера - Китай. Туда поставки российского продовольствия в 2021 году упали на 12%, до $3,5 млрд. По итогам года Китай занял только третье место, пропустив вперед еще и Турцию, увеличившую закупки российской сельхозпродукции на 38%, до $4,3 млрд. </w:t>
      </w:r>
      <w:r w:rsidRPr="00D96790">
        <w:rPr>
          <w:i/>
        </w:rPr>
        <w:t>Газета РБК</w:t>
      </w:r>
    </w:p>
    <w:p w:rsidR="00722F18" w:rsidRDefault="00722F18" w:rsidP="00A26751">
      <w:pPr>
        <w:rPr>
          <w:rFonts w:cs="Arial"/>
          <w:b/>
          <w:caps/>
          <w:color w:val="000000" w:themeColor="text1"/>
          <w:szCs w:val="18"/>
        </w:rPr>
      </w:pPr>
    </w:p>
    <w:p w:rsidR="00A26751" w:rsidRPr="00A26751" w:rsidRDefault="00A26751" w:rsidP="00A26751">
      <w:pPr>
        <w:rPr>
          <w:rFonts w:cs="Arial"/>
          <w:b/>
          <w:caps/>
          <w:color w:val="000000" w:themeColor="text1"/>
          <w:szCs w:val="18"/>
        </w:rPr>
      </w:pPr>
      <w:r w:rsidRPr="00A26751">
        <w:rPr>
          <w:rFonts w:cs="Arial"/>
          <w:b/>
          <w:caps/>
          <w:color w:val="000000" w:themeColor="text1"/>
          <w:szCs w:val="18"/>
        </w:rPr>
        <w:t>РФ начала тестировать госсистему прослеживаемости зерна - Центр агроаналитики</w:t>
      </w:r>
    </w:p>
    <w:p w:rsidR="00A26751" w:rsidRPr="00A26751" w:rsidRDefault="00A26751" w:rsidP="00A26751">
      <w:r w:rsidRPr="00A26751">
        <w:t xml:space="preserve">РФ начала тестировать государственную систему </w:t>
      </w:r>
      <w:proofErr w:type="spellStart"/>
      <w:r w:rsidRPr="00A26751">
        <w:t>прослеживаемости</w:t>
      </w:r>
      <w:proofErr w:type="spellEnd"/>
      <w:r w:rsidRPr="00A26751">
        <w:t xml:space="preserve"> зерна, сообщает Центр</w:t>
      </w:r>
      <w:r>
        <w:t xml:space="preserve"> </w:t>
      </w:r>
      <w:proofErr w:type="spellStart"/>
      <w:r>
        <w:t>агроаналитики</w:t>
      </w:r>
      <w:proofErr w:type="spellEnd"/>
      <w:r>
        <w:t xml:space="preserve"> при Минсельхозе. </w:t>
      </w:r>
      <w:r w:rsidRPr="00A26751">
        <w:t xml:space="preserve">Тестирование </w:t>
      </w:r>
      <w:r>
        <w:t xml:space="preserve">продлится до 1 июля этого года. </w:t>
      </w:r>
      <w:r w:rsidRPr="00A26751">
        <w:t>Как отметил руководитель направления по внедрению ФГИС (Федеральная государственная информационная система) "Зерно" центра Михаил Копейкин, слова которого приведены в сообщении, основная задача этапа тестирования системы - получить о</w:t>
      </w:r>
      <w:r>
        <w:t>братную связь от пользователей.</w:t>
      </w:r>
    </w:p>
    <w:p w:rsidR="00A26751" w:rsidRPr="00A26751" w:rsidRDefault="00A26751" w:rsidP="00A26751">
      <w:pPr>
        <w:rPr>
          <w:i/>
        </w:rPr>
      </w:pPr>
      <w:r w:rsidRPr="00A26751">
        <w:t>"Мы проводим тестирование для того, чтобы понять, насколько пользователям удобно вносить данные в систему, отслеживать партии зерна и продуктов его переработки, взаимодействовать с контрагентами. Тестирование даст пользователям возможность привыкнуть к работе с системой, отработать процедуру внесения в нее данных в рамках своих бизнес-процессов и в соответствии с требованиями к срокам внесения информации, установленными правительством", - сказал он.</w:t>
      </w:r>
      <w:r>
        <w:t xml:space="preserve"> </w:t>
      </w:r>
      <w:r w:rsidRPr="00A26751">
        <w:rPr>
          <w:i/>
        </w:rPr>
        <w:t>Интерфакс</w:t>
      </w:r>
    </w:p>
    <w:p w:rsidR="0082054B" w:rsidRDefault="00F62502" w:rsidP="00FA6126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82054B" w:rsidRPr="0082054B" w:rsidRDefault="00651B3A" w:rsidP="0082054B">
      <w:pPr>
        <w:pStyle w:val="a9"/>
      </w:pPr>
      <w:hyperlink r:id="rId12" w:history="1">
        <w:r w:rsidR="0082054B" w:rsidRPr="0082054B">
          <w:t>КАБМИН СНЯЛ С АГРАРИЕВ ОГРАНИЧЕНИЯ НА ПОЛУЧЕНИЕ ДОПОЛНИТЕЛЬНОЙ ГОСПОДДЕРЖКИ</w:t>
        </w:r>
      </w:hyperlink>
    </w:p>
    <w:p w:rsidR="0082054B" w:rsidRDefault="0082054B" w:rsidP="0082054B">
      <w:r>
        <w:t xml:space="preserve">Во время совещания с вице-премьерами </w:t>
      </w:r>
      <w:proofErr w:type="spellStart"/>
      <w:r w:rsidRPr="00E57D1E">
        <w:t>Мишустин</w:t>
      </w:r>
      <w:proofErr w:type="spellEnd"/>
      <w:r>
        <w:t xml:space="preserve"> сообщил, в России уже действует система, позволяющая </w:t>
      </w:r>
      <w:r w:rsidRPr="00E57D1E">
        <w:t>агробизнесу</w:t>
      </w:r>
      <w:r>
        <w:t xml:space="preserve"> получать кредиты по льготным ставкам для реализации </w:t>
      </w:r>
      <w:proofErr w:type="spellStart"/>
      <w:r>
        <w:t>инвестпроектов</w:t>
      </w:r>
      <w:proofErr w:type="spellEnd"/>
      <w:r>
        <w:t xml:space="preserve">. Однако до возврата </w:t>
      </w:r>
      <w:proofErr w:type="spellStart"/>
      <w:r>
        <w:t>инвесткредита</w:t>
      </w:r>
      <w:proofErr w:type="spellEnd"/>
      <w:r>
        <w:t xml:space="preserve"> заемщики не могли претендовать на другие дополнительные меры поддержки.</w:t>
      </w:r>
    </w:p>
    <w:p w:rsidR="00C8396B" w:rsidRDefault="0082054B" w:rsidP="0082054B">
      <w:pPr>
        <w:rPr>
          <w:i/>
        </w:rPr>
      </w:pPr>
      <w:r>
        <w:t xml:space="preserve">"Принято решение снять эти ограничения для некоторых предпринимателей. В первую очередь для тех, кто занимается производством и переработкой рыбы, ракообразных и моллюсков. А также для тех, кто выпускает сухие молочные продукты. Обе категории смогут претендовать еще и на получение субсидий на возмещение части прямых понесенных затрат на создание и модернизацию объектов по переработке сельхозпродукции", - сказал </w:t>
      </w:r>
      <w:proofErr w:type="spellStart"/>
      <w:r w:rsidRPr="00E57D1E">
        <w:t>Мишустин</w:t>
      </w:r>
      <w:proofErr w:type="spellEnd"/>
      <w:r>
        <w:t xml:space="preserve">. </w:t>
      </w:r>
      <w:r w:rsidRPr="00C31D75">
        <w:rPr>
          <w:i/>
        </w:rPr>
        <w:t>ПРАЙМ</w:t>
      </w:r>
    </w:p>
    <w:p w:rsidR="00A26751" w:rsidRPr="0082054B" w:rsidRDefault="00651B3A" w:rsidP="00A26751">
      <w:pPr>
        <w:pStyle w:val="a9"/>
      </w:pPr>
      <w:hyperlink r:id="rId13" w:history="1">
        <w:r w:rsidR="00A26751" w:rsidRPr="0082054B">
          <w:t>ИНДИВИДУАЛЬНЫЕ ПРЕДПРИНИМАТЕЛИ-ЭКСПОРТЕРЫ АГРОПРОДУКЦИИ ПОЛУЧАТ ЛЬГОТЫ</w:t>
        </w:r>
      </w:hyperlink>
    </w:p>
    <w:p w:rsidR="00A26751" w:rsidRDefault="00A26751" w:rsidP="00A26751">
      <w:r>
        <w:t xml:space="preserve">В список экспортеров, которые могут подать заявку на получение компенсации расходов на получение сертификатов </w:t>
      </w:r>
      <w:proofErr w:type="spellStart"/>
      <w:r>
        <w:t>агропродукции</w:t>
      </w:r>
      <w:proofErr w:type="spellEnd"/>
      <w:r>
        <w:t xml:space="preserve"> на экспорт, вошли индивидуальные предприниматели. Соответствующее постановление правительства от 10 февраля 2022 года № 142 вступает в силу 22 февраля. </w:t>
      </w:r>
    </w:p>
    <w:p w:rsidR="00A26751" w:rsidRDefault="00A26751" w:rsidP="00A26751">
      <w:r>
        <w:t xml:space="preserve">Программа господдержки, которую предоставляет </w:t>
      </w:r>
      <w:r w:rsidRPr="0082054B">
        <w:rPr>
          <w:b/>
        </w:rPr>
        <w:t>Минсельхоз</w:t>
      </w:r>
      <w:r>
        <w:t>, предполагает, что экспортеры могут компенсировать от 50 до 90 процентов затрат на получение сертификатов для продукции масложировой, мясной и молочной отраслей, продукции пищевой и перерабатывающей промышленности, органической продукции и другой продукции АПК.</w:t>
      </w:r>
    </w:p>
    <w:p w:rsidR="00A26751" w:rsidRDefault="00A26751" w:rsidP="00A26751">
      <w:pPr>
        <w:rPr>
          <w:i/>
        </w:rPr>
      </w:pPr>
      <w:r>
        <w:t xml:space="preserve">Как отмечалось ранее, сертификация такой продукции на внешних рынках предполагает большой комплекс мероприятий. К ним, например, относятся ветеринарно-санитарные и фитосанитарные мероприятия, транспортировка, хранение, испытания и утилизация образцов. </w:t>
      </w:r>
      <w:r>
        <w:rPr>
          <w:i/>
        </w:rPr>
        <w:t>Парламентская газета</w:t>
      </w:r>
    </w:p>
    <w:p w:rsidR="00E732BC" w:rsidRDefault="00E732BC" w:rsidP="00E732BC">
      <w:pPr>
        <w:pStyle w:val="a9"/>
      </w:pPr>
      <w:r>
        <w:t>Расчет пошлин для "подсолнечного демпфера" на основе биржевых цен может начаться с 1 сентября 2022 г</w:t>
      </w:r>
    </w:p>
    <w:p w:rsidR="00E732BC" w:rsidRPr="00E732BC" w:rsidRDefault="00E732BC" w:rsidP="00E732BC">
      <w:r w:rsidRPr="00E732BC">
        <w:t xml:space="preserve">Расчет плавающей пошлины на подсолнечное масло на основе биржевых цен может начаться с 1 сентября 2022 года, сообщил "Интерфаксу" источник, знакомый с пакетом документов, направленных вместе с письмом первого замминистра сельского хозяйства Оксаны </w:t>
      </w:r>
      <w:proofErr w:type="spellStart"/>
      <w:r w:rsidRPr="00E732BC">
        <w:t>Лут</w:t>
      </w:r>
      <w:proofErr w:type="spellEnd"/>
      <w:r w:rsidRPr="00E732BC">
        <w:t xml:space="preserve"> в адрес Минэкономразвития.</w:t>
      </w:r>
    </w:p>
    <w:p w:rsidR="00E732BC" w:rsidRPr="00E732BC" w:rsidRDefault="00E732BC" w:rsidP="00E732BC">
      <w:r w:rsidRPr="00E732BC">
        <w:t>Приложенный к нему проект постановления правительства вносит изменения в постановление правительства № 623 от 23 июля 2013 года, которое предусматривает обязательную регистрацию на бирже внебиржевых договоров по зерну. В настоящее время этот механизм используется для рас</w:t>
      </w:r>
      <w:r>
        <w:t>чета плавающих пошлин на зерно.</w:t>
      </w:r>
    </w:p>
    <w:p w:rsidR="00E732BC" w:rsidRPr="00E732BC" w:rsidRDefault="00E732BC" w:rsidP="00A26751">
      <w:r w:rsidRPr="00E732BC">
        <w:t>Минсельхоз предлагает дополнить постановление аналогичными нормами по договорам о реализации подсолнечного масла. Для этого будут использованы механиз</w:t>
      </w:r>
      <w:r>
        <w:t xml:space="preserve">мы Национальной товарной биржи. </w:t>
      </w:r>
      <w:r w:rsidRPr="00E732BC">
        <w:t>Предполагается, что постановления вступит в силу с 1 сентября 2022 года и будет действовать до 1 сентября 2028 года.</w:t>
      </w:r>
      <w:r w:rsidRPr="00E732BC">
        <w:rPr>
          <w:i/>
        </w:rPr>
        <w:t xml:space="preserve"> </w:t>
      </w:r>
      <w:r w:rsidRPr="00A26751">
        <w:rPr>
          <w:i/>
        </w:rPr>
        <w:t>Интерфакс</w:t>
      </w:r>
    </w:p>
    <w:p w:rsidR="00C8396B" w:rsidRDefault="00F62502" w:rsidP="00A26751">
      <w:pPr>
        <w:pStyle w:val="a8"/>
        <w:spacing w:before="240"/>
        <w:jc w:val="both"/>
        <w:outlineLvl w:val="0"/>
      </w:pPr>
      <w:bookmarkStart w:id="9" w:name="SEC_5"/>
      <w:bookmarkEnd w:id="8"/>
      <w:r>
        <w:t>Агропромышленный комплекс</w:t>
      </w:r>
    </w:p>
    <w:p w:rsidR="00A26751" w:rsidRPr="0082054B" w:rsidRDefault="00651B3A" w:rsidP="00A26751">
      <w:pPr>
        <w:pStyle w:val="a9"/>
      </w:pPr>
      <w:hyperlink r:id="rId14" w:history="1">
        <w:r w:rsidR="00A26751" w:rsidRPr="0082054B">
          <w:t>РОССЕЛЬХОЗНАДЗОР ПОПРОСИЛ ИОРДАНИЮ РАЗРЕШИТЬ ПОСТАВКИ ПРОДУКЦИИ ПТИЦЕВОДСТВА</w:t>
        </w:r>
      </w:hyperlink>
    </w:p>
    <w:p w:rsidR="00A26751" w:rsidRDefault="00A26751" w:rsidP="00A26751">
      <w:proofErr w:type="spellStart"/>
      <w:r w:rsidRPr="0082054B">
        <w:rPr>
          <w:b/>
        </w:rPr>
        <w:t>Россельхознадзор</w:t>
      </w:r>
      <w:proofErr w:type="spellEnd"/>
      <w:r>
        <w:t xml:space="preserve"> попросил Иорданию возобновить поставки термически необработанной птицеводческой продукции из ряда регионов России. Об этом говорится в сообщении российского ведомства.</w:t>
      </w:r>
    </w:p>
    <w:p w:rsidR="00A26751" w:rsidRPr="00D96790" w:rsidRDefault="00A26751" w:rsidP="00A26751">
      <w:pPr>
        <w:rPr>
          <w:i/>
        </w:rPr>
      </w:pPr>
      <w:r>
        <w:t xml:space="preserve">Как сообщили в ведомстве, в ходе прошедших переговоров представители России и Иордании обсудили возможность снятия ограничений на ввоз российской птицеводческой продукции в Иорданию. Запрет на импорт всех видов продукции птицеводства в конце 2021 года был введен иностранным компетентным органом в связи с отдельными вспышками гриппа птиц в ряде регионов РФ. В российском ведомстве подчеркнули, что на территории РФ действует программа регионализации по гриппу птиц, обеспеченная надлежащим лабораторным контролем и единой электронной системой </w:t>
      </w:r>
      <w:proofErr w:type="spellStart"/>
      <w:r>
        <w:t>прослеживаемости</w:t>
      </w:r>
      <w:proofErr w:type="spellEnd"/>
      <w:r>
        <w:t xml:space="preserve"> и сертификации, которая исключает экспорт продуктов птицеводства из пострадавших районов. </w:t>
      </w:r>
      <w:r w:rsidRPr="00D96790">
        <w:rPr>
          <w:i/>
        </w:rPr>
        <w:t>ТАСС</w:t>
      </w:r>
    </w:p>
    <w:p w:rsidR="000912DA" w:rsidRDefault="000912DA" w:rsidP="000912DA">
      <w:pPr>
        <w:rPr>
          <w:rFonts w:cs="Arial"/>
          <w:b/>
          <w:caps/>
          <w:color w:val="000000" w:themeColor="text1"/>
          <w:szCs w:val="18"/>
        </w:rPr>
      </w:pPr>
    </w:p>
    <w:p w:rsidR="000912DA" w:rsidRPr="000912DA" w:rsidRDefault="000912DA" w:rsidP="000912DA">
      <w:r w:rsidRPr="000912DA">
        <w:rPr>
          <w:rFonts w:cs="Arial"/>
          <w:b/>
          <w:caps/>
          <w:color w:val="000000" w:themeColor="text1"/>
          <w:szCs w:val="18"/>
        </w:rPr>
        <w:lastRenderedPageBreak/>
        <w:t xml:space="preserve">Россия получила право экспорта продукции из </w:t>
      </w:r>
      <w:r>
        <w:rPr>
          <w:rFonts w:cs="Arial"/>
          <w:b/>
          <w:caps/>
          <w:color w:val="000000" w:themeColor="text1"/>
          <w:szCs w:val="18"/>
        </w:rPr>
        <w:t>улиток на территорию Евросоюза</w:t>
      </w:r>
    </w:p>
    <w:p w:rsidR="003B199D" w:rsidRDefault="000912DA" w:rsidP="003B199D">
      <w:pPr>
        <w:rPr>
          <w:i/>
        </w:rPr>
      </w:pPr>
      <w:r w:rsidRPr="000912DA">
        <w:t>Россия получила право экспорта продукции из улиток на территорию Евросоюза, говори</w:t>
      </w:r>
      <w:r>
        <w:t xml:space="preserve">тся на сайте </w:t>
      </w:r>
      <w:proofErr w:type="spellStart"/>
      <w:r>
        <w:t>Россельхознадзора</w:t>
      </w:r>
      <w:proofErr w:type="spellEnd"/>
      <w:r>
        <w:t xml:space="preserve">.  </w:t>
      </w:r>
      <w:r w:rsidRPr="000912DA">
        <w:t xml:space="preserve">Добавляется, что участникам внешнеэкономической деятельности, которые заинтересованы в поставках продукции из улиток на территорию Евросоюза, необходимо пройти обследование на соответствие требованиям ЕС, подав заявку через электронный интерфейс в </w:t>
      </w:r>
      <w:r>
        <w:t xml:space="preserve">информационной системе "Цербер". </w:t>
      </w:r>
      <w:r w:rsidRPr="000912DA">
        <w:rPr>
          <w:i/>
        </w:rPr>
        <w:t>РИА Новости</w:t>
      </w:r>
    </w:p>
    <w:p w:rsidR="003B199D" w:rsidRDefault="003B199D" w:rsidP="003B199D">
      <w:pPr>
        <w:rPr>
          <w:i/>
        </w:rPr>
      </w:pPr>
    </w:p>
    <w:p w:rsidR="003B199D" w:rsidRPr="003B199D" w:rsidRDefault="000912DA" w:rsidP="003B199D">
      <w:pPr>
        <w:rPr>
          <w:rFonts w:cs="Arial"/>
          <w:b/>
          <w:caps/>
          <w:color w:val="000000" w:themeColor="text1"/>
          <w:szCs w:val="18"/>
        </w:rPr>
      </w:pPr>
      <w:r w:rsidRPr="003B199D">
        <w:rPr>
          <w:rFonts w:cs="Arial"/>
          <w:b/>
          <w:caps/>
          <w:color w:val="000000" w:themeColor="text1"/>
          <w:szCs w:val="18"/>
        </w:rPr>
        <w:t xml:space="preserve">Россельхознадзор попросил Сербию усилить контроль за качеством яблок, поставляемых в РФ </w:t>
      </w:r>
    </w:p>
    <w:p w:rsidR="00583B5F" w:rsidRDefault="000912DA" w:rsidP="00583B5F">
      <w:pPr>
        <w:rPr>
          <w:i/>
          <w:caps/>
        </w:rPr>
      </w:pPr>
      <w:r w:rsidRPr="003B199D">
        <w:t xml:space="preserve">18 февраля </w:t>
      </w:r>
      <w:proofErr w:type="spellStart"/>
      <w:r w:rsidRPr="003B199D">
        <w:t>Россельхознадзор</w:t>
      </w:r>
      <w:proofErr w:type="spellEnd"/>
      <w:r w:rsidRPr="003B199D">
        <w:t xml:space="preserve"> провел в </w:t>
      </w:r>
      <w:proofErr w:type="spellStart"/>
      <w:r w:rsidRPr="003B199D">
        <w:t>видеоформате</w:t>
      </w:r>
      <w:proofErr w:type="spellEnd"/>
      <w:r w:rsidRPr="003B199D">
        <w:t xml:space="preserve"> переговоры с директором управления по защите растений Министерства сельского, лесного и водного хозяйств Республики Сербия </w:t>
      </w:r>
      <w:proofErr w:type="spellStart"/>
      <w:r w:rsidRPr="003B199D">
        <w:t>Небойшей</w:t>
      </w:r>
      <w:proofErr w:type="spellEnd"/>
      <w:r w:rsidRPr="003B199D">
        <w:t xml:space="preserve"> </w:t>
      </w:r>
      <w:proofErr w:type="spellStart"/>
      <w:r w:rsidRPr="003B199D">
        <w:t>Милосавлевичем</w:t>
      </w:r>
      <w:proofErr w:type="spellEnd"/>
      <w:r w:rsidRPr="003B199D">
        <w:t>."</w:t>
      </w:r>
      <w:proofErr w:type="spellStart"/>
      <w:r w:rsidRPr="003B199D">
        <w:t>Россельхознадзор</w:t>
      </w:r>
      <w:proofErr w:type="spellEnd"/>
      <w:r w:rsidRPr="003B199D">
        <w:t xml:space="preserve"> также обратился к </w:t>
      </w:r>
      <w:proofErr w:type="spellStart"/>
      <w:r w:rsidRPr="003B199D">
        <w:t>Небойше</w:t>
      </w:r>
      <w:proofErr w:type="spellEnd"/>
      <w:r w:rsidRPr="003B199D">
        <w:t xml:space="preserve"> </w:t>
      </w:r>
      <w:proofErr w:type="spellStart"/>
      <w:r w:rsidRPr="003B199D">
        <w:t>Милосавлевичу</w:t>
      </w:r>
      <w:proofErr w:type="spellEnd"/>
      <w:r w:rsidRPr="003B199D">
        <w:t xml:space="preserve"> с просьбой усилить контроль за поставляемой из Сербии в Россию </w:t>
      </w:r>
      <w:proofErr w:type="spellStart"/>
      <w:r w:rsidRPr="003B199D">
        <w:t>подкарантинной</w:t>
      </w:r>
      <w:proofErr w:type="spellEnd"/>
      <w:r w:rsidRPr="003B199D">
        <w:t xml:space="preserve"> продукцией. Служба обеспокоена выявлением немалого количества сербских яблок, зараженных карантинными для ЕАЭС объектами. В частности, коричневым мраморным клопом и бурой </w:t>
      </w:r>
      <w:proofErr w:type="spellStart"/>
      <w:r w:rsidRPr="003B199D">
        <w:t>монилиозной</w:t>
      </w:r>
      <w:proofErr w:type="spellEnd"/>
      <w:r w:rsidRPr="003B199D">
        <w:t xml:space="preserve"> гнилью", - отмечается в сообщении. Как добавили в </w:t>
      </w:r>
      <w:proofErr w:type="spellStart"/>
      <w:r w:rsidRPr="003B199D">
        <w:t>Россельхознадзоре</w:t>
      </w:r>
      <w:proofErr w:type="spellEnd"/>
      <w:r w:rsidRPr="003B199D">
        <w:t>, российская сторона ожидает, что сербское ведомство примет меры для недопущения в дальнейшем подобных нарушений и проинформирует о них.</w:t>
      </w:r>
      <w:r w:rsidRPr="000912DA">
        <w:rPr>
          <w:b/>
          <w:caps/>
        </w:rPr>
        <w:t xml:space="preserve"> </w:t>
      </w:r>
      <w:r w:rsidRPr="003B199D">
        <w:rPr>
          <w:i/>
          <w:caps/>
        </w:rPr>
        <w:t>ТАСС</w:t>
      </w:r>
    </w:p>
    <w:p w:rsidR="002275B8" w:rsidRDefault="002275B8" w:rsidP="00B81483">
      <w:pPr>
        <w:rPr>
          <w:i/>
          <w:caps/>
        </w:rPr>
      </w:pPr>
    </w:p>
    <w:p w:rsidR="002C62A3" w:rsidRPr="00046E29" w:rsidRDefault="00651B3A" w:rsidP="00B81483">
      <w:pPr>
        <w:rPr>
          <w:b/>
          <w:i/>
        </w:rPr>
      </w:pPr>
      <w:hyperlink r:id="rId15" w:history="1">
        <w:r w:rsidR="00B81483" w:rsidRPr="00583B5F">
          <w:rPr>
            <w:b/>
          </w:rPr>
          <w:t>ГРЕНАДА И РОССИЯ ПРОРАБАТЫВАЮТ ВОЗМОЖНОСТЬ ПОСТАВОК ЗЕРНА - ПОСОЛ</w:t>
        </w:r>
      </w:hyperlink>
    </w:p>
    <w:p w:rsidR="00B81483" w:rsidRDefault="00B81483" w:rsidP="00B81483">
      <w:r>
        <w:t xml:space="preserve">Гренада и Россия прорабатывают возможность поставок зерна, сказал в интервью РИА Новости посол Гренады в России Олег </w:t>
      </w:r>
      <w:proofErr w:type="spellStart"/>
      <w:r>
        <w:t>Фирер</w:t>
      </w:r>
      <w:proofErr w:type="spellEnd"/>
      <w:r>
        <w:t>.</w:t>
      </w:r>
    </w:p>
    <w:p w:rsidR="00B81483" w:rsidRDefault="00B81483" w:rsidP="00B81483">
      <w:r>
        <w:t xml:space="preserve">"В России есть множество вещей, в которых у нас есть потребность​​​. В Гренаде была делегация </w:t>
      </w:r>
      <w:proofErr w:type="spellStart"/>
      <w:r w:rsidRPr="00360E47">
        <w:rPr>
          <w:b/>
        </w:rPr>
        <w:t>Россельхознадзора</w:t>
      </w:r>
      <w:proofErr w:type="spellEnd"/>
      <w:r>
        <w:t xml:space="preserve">, прорабатывается возможность поставок зерна. </w:t>
      </w:r>
    </w:p>
    <w:p w:rsidR="00B81483" w:rsidRPr="00B81483" w:rsidRDefault="00B81483" w:rsidP="00B81483">
      <w:r>
        <w:t xml:space="preserve">"Также мы договариваемся с Россией о поставках удобрений, тракторов и комбайнов", - добавил </w:t>
      </w:r>
      <w:proofErr w:type="spellStart"/>
      <w:r>
        <w:t>Фирер</w:t>
      </w:r>
      <w:proofErr w:type="spellEnd"/>
      <w:r>
        <w:t xml:space="preserve">. </w:t>
      </w:r>
      <w:r w:rsidRPr="00B81483">
        <w:rPr>
          <w:i/>
        </w:rPr>
        <w:t>РИА Новости,</w:t>
      </w:r>
      <w:r>
        <w:t xml:space="preserve"> </w:t>
      </w:r>
      <w:r w:rsidRPr="0038621E">
        <w:rPr>
          <w:i/>
        </w:rPr>
        <w:t>MilkNews.ru</w:t>
      </w:r>
    </w:p>
    <w:p w:rsidR="00722F18" w:rsidRPr="0082054B" w:rsidRDefault="00651B3A" w:rsidP="00722F18">
      <w:pPr>
        <w:pStyle w:val="a9"/>
      </w:pPr>
      <w:hyperlink r:id="rId16" w:history="1">
        <w:r w:rsidR="00722F18" w:rsidRPr="0082054B">
          <w:t>МУКОМОЛЫ ПРЕДЛОЖИЛИ ОГРАНИЧИТЬ ЗАКУПКИ ПШЕНИЦЫ В ГОСФОНД НА УРОВНЕ 2 МЛН Т</w:t>
        </w:r>
      </w:hyperlink>
    </w:p>
    <w:p w:rsidR="00722F18" w:rsidRDefault="00722F18" w:rsidP="00722F18">
      <w:r>
        <w:t>Закупки пшеницы в государственный интервенционный фонд можно ограничить 2 млн тонн. Реализовывать его следует только тем мукомольным предприятиям, которые отчитываются об объемах производства в Росстате. Так считают в Российском союзе мукомольных и крупяных предприятий.</w:t>
      </w:r>
    </w:p>
    <w:p w:rsidR="00722F18" w:rsidRDefault="00722F18" w:rsidP="00722F18">
      <w:r>
        <w:t>"Учитывая, что на предприятиях, отчитывающихся перед Росстатом, производится порядка 60-65% всей пшеничной муки, в интервенционный фонд достаточно закупать 2 млн тонн пшеницы мукомольных кондиций. Это тот необходимый объем, который можно закупить и разместить на предприятиях мукомолья", - заявил президент союза Игорь Свириденко на бизнес-конференции "Зернохранилища России - 2022" в понедельник в Москве.</w:t>
      </w:r>
    </w:p>
    <w:p w:rsidR="00722F18" w:rsidRPr="00A26751" w:rsidRDefault="00722F18" w:rsidP="00722F18">
      <w:r>
        <w:t xml:space="preserve">Этот расчет сделан исходя из того, в что в РФ ежегодно производится порядка 13 млн тонн пшеничной муки, для чего используется около 18 млн тонн пшеницы, или в среднем 1,5 млн тонн в месяц. </w:t>
      </w:r>
      <w:r w:rsidRPr="00CF0454">
        <w:rPr>
          <w:i/>
        </w:rPr>
        <w:t>Интерфакс</w:t>
      </w:r>
    </w:p>
    <w:p w:rsidR="00A26751" w:rsidRPr="00360E47" w:rsidRDefault="00651B3A" w:rsidP="00DF14A6">
      <w:pPr>
        <w:pStyle w:val="a9"/>
      </w:pPr>
      <w:hyperlink r:id="rId17" w:history="1">
        <w:r w:rsidR="00A26751" w:rsidRPr="00360E47">
          <w:t>ВЛАДИМИР ТРУХАЧЕВ, РГАУ-МСХА ИМ. ТИМИРЯЗЕВА: ПРОФЕССИЯ АГРОЭКОЛОГА БУДЕТ КРАЙНЕ ВОСТРЕБОВАНА В БЛИЖАЙШИЕ ДЕСЯТИЛЕТИЯ</w:t>
        </w:r>
      </w:hyperlink>
    </w:p>
    <w:p w:rsidR="00A26751" w:rsidRDefault="00A26751" w:rsidP="00A26751">
      <w:r>
        <w:t xml:space="preserve">На Всемирной выставке "ЭКСПО-2020" в Дубае прошел круглый стол "Аграрное образование - инвестиции в будущее". В ходе встречи ректор РГАУ-МСХА им. К.А. Тимирязева Владимир </w:t>
      </w:r>
      <w:proofErr w:type="spellStart"/>
      <w:r>
        <w:t>Трухачев</w:t>
      </w:r>
      <w:proofErr w:type="spellEnd"/>
      <w:r>
        <w:t xml:space="preserve"> рассказал о вопросах внедрения ESG-стандартов в образовательный процесс.</w:t>
      </w:r>
    </w:p>
    <w:p w:rsidR="00A26751" w:rsidRPr="00296AF7" w:rsidRDefault="00A26751" w:rsidP="00A26751">
      <w:r>
        <w:t xml:space="preserve">"В условиях сегодняшнего дня специалист-аграрий должен обладать совсем другими знаниями по сравнению с теми, которые он имел еще 5-10 лет назад. </w:t>
      </w:r>
      <w:r w:rsidR="002275B8">
        <w:t xml:space="preserve">В </w:t>
      </w:r>
      <w:r w:rsidR="00296AF7">
        <w:t xml:space="preserve">2011 году мы создали </w:t>
      </w:r>
      <w:r>
        <w:t xml:space="preserve">лабораторию агроэкологического мониторинга с приглашением в нее в качестве ведущего ученого лауреата Нобелевской премии мира и ведущего эколога Европы Риккардо </w:t>
      </w:r>
      <w:proofErr w:type="spellStart"/>
      <w:r>
        <w:t>Валентини</w:t>
      </w:r>
      <w:proofErr w:type="spellEnd"/>
      <w:r>
        <w:t>. Исследования в области агроэкологического мониторинга сейчас продолжаются в рамках созданного в 2020 году научного центра мирового уровня "</w:t>
      </w:r>
      <w:proofErr w:type="spellStart"/>
      <w:r>
        <w:t>Агротехнологии</w:t>
      </w:r>
      <w:proofErr w:type="spellEnd"/>
      <w:r>
        <w:t xml:space="preserve"> будущего". Они легли в основу магистерской программы "Агроэкологический мониторинг и проектирование". Это и есть те специалисты по "зеленым" проектам, которые нужны современным компаниям, ориентированным на стандарты ESG. </w:t>
      </w:r>
      <w:r w:rsidRPr="00C832E0">
        <w:rPr>
          <w:i/>
        </w:rPr>
        <w:t>MilkNews.ru</w:t>
      </w:r>
    </w:p>
    <w:p w:rsidR="00C53F9F" w:rsidRPr="00360E47" w:rsidRDefault="00651B3A" w:rsidP="00C53F9F">
      <w:pPr>
        <w:pStyle w:val="a9"/>
      </w:pPr>
      <w:hyperlink r:id="rId18" w:history="1">
        <w:r w:rsidR="00C53F9F" w:rsidRPr="00360E47">
          <w:t>РОСТОВСКАЯ ОБЛАСТЬ КО II ПОЛУГОДИЮ ПРЕДСТАВИТ КОНЦЕПЦИЮ РАЗВИТИЯ В РЕГИОНЕ МОЛОЧНОГО ЖИВОТНОВОДСТВА</w:t>
        </w:r>
      </w:hyperlink>
    </w:p>
    <w:p w:rsidR="00C53F9F" w:rsidRDefault="00C53F9F" w:rsidP="00C53F9F">
      <w:r>
        <w:t>Ростовская область завершает разработку концепции молочного животноводства, она будет принята в первом полугодии 2022 года, сообщил "Интерфаксу" первый заместитель губернатора региона Виктор Гончаров.</w:t>
      </w:r>
    </w:p>
    <w:p w:rsidR="00C53F9F" w:rsidRDefault="00C53F9F" w:rsidP="00C53F9F">
      <w:r>
        <w:t>"Параллельно с концепцией мы готовим подпрограмму развития молочного животноводств</w:t>
      </w:r>
      <w:r w:rsidR="001F5AFA">
        <w:t>а</w:t>
      </w:r>
      <w:r>
        <w:t xml:space="preserve"> в рамках программы по АПК. Она будет представлена к концу 2022 года. Разработка концепции и подпрограммы должны простимулировать вложения бизнеса в данную отрасль", - сказал Гончаров.</w:t>
      </w:r>
    </w:p>
    <w:p w:rsidR="00C53F9F" w:rsidRPr="00C53F9F" w:rsidRDefault="00C53F9F" w:rsidP="00A26751">
      <w:r>
        <w:t xml:space="preserve">Он пояснил, что в программе упор планируется сделать на развитие малого и среднего бизнеса, создание небольших молочных ферм. </w:t>
      </w:r>
      <w:r>
        <w:rPr>
          <w:i/>
        </w:rPr>
        <w:t>Интерфакс</w:t>
      </w:r>
    </w:p>
    <w:p w:rsidR="00C8396B" w:rsidRDefault="00F62502">
      <w:pPr>
        <w:pStyle w:val="a8"/>
        <w:spacing w:before="240"/>
        <w:outlineLvl w:val="0"/>
      </w:pPr>
      <w:bookmarkStart w:id="10" w:name="SEC_6"/>
      <w:bookmarkEnd w:id="9"/>
      <w:r>
        <w:t>Новости экономики и власти</w:t>
      </w:r>
    </w:p>
    <w:p w:rsidR="004A4CF2" w:rsidRDefault="004A4CF2" w:rsidP="00D543F3">
      <w:pPr>
        <w:pStyle w:val="a9"/>
      </w:pPr>
      <w:r>
        <w:t>Борщевой недобор: за наличными из маткапитала стали обращаться вдвое чаще</w:t>
      </w:r>
    </w:p>
    <w:p w:rsidR="004A4CF2" w:rsidRDefault="004A4CF2" w:rsidP="004A4CF2">
      <w:r>
        <w:t>Высокая инфляция и другие последствия пандемического кризиса привели к росту в 2,2 раза количества заявлений от нуждающихся семей на «</w:t>
      </w:r>
      <w:proofErr w:type="spellStart"/>
      <w:r>
        <w:t>обналичивание</w:t>
      </w:r>
      <w:proofErr w:type="spellEnd"/>
      <w:r>
        <w:t xml:space="preserve">» средств материнского (семейного) капитала (МСК). Если в 2020-м за </w:t>
      </w:r>
      <w:r>
        <w:lastRenderedPageBreak/>
        <w:t xml:space="preserve">ежемесячной выплатой в размере регионального детского прожиточного минимума обратились 134,3 тыс. россиян, то в 2021-м — уже 295,2 тыс., что составляет 42% от всех заявлений на эту меру </w:t>
      </w:r>
      <w:proofErr w:type="spellStart"/>
      <w:r>
        <w:t>соцподдержки</w:t>
      </w:r>
      <w:proofErr w:type="spellEnd"/>
      <w:r>
        <w:t xml:space="preserve">. </w:t>
      </w:r>
    </w:p>
    <w:p w:rsidR="00D543F3" w:rsidRPr="00722F18" w:rsidRDefault="00D543F3" w:rsidP="00D543F3">
      <w:r>
        <w:t>Профессор Финансового университета при правительстве РФ Александр Сафонов предложил обратить внимание на опубликованные 21 февраля данные Росстата по изменению стоимости «</w:t>
      </w:r>
      <w:proofErr w:type="spellStart"/>
      <w:r>
        <w:t>борщевого</w:t>
      </w:r>
      <w:proofErr w:type="spellEnd"/>
      <w:r>
        <w:t xml:space="preserve"> набора» с 2017 по 2022 год. Согласно им, за пять лет цены выросли вдвое. — Это означает, что уровень потребительской инфляции выше среднего показателя, а семьи с детьми большую часть доходов тратят на продукты питания. И рост цен больно ударил по их карману, — подчеркнул Александр Сафонов.</w:t>
      </w:r>
      <w:r w:rsidRPr="00D543F3">
        <w:rPr>
          <w:i/>
        </w:rPr>
        <w:t xml:space="preserve"> Известия</w:t>
      </w:r>
    </w:p>
    <w:p w:rsidR="00C8396B" w:rsidRPr="008050B3" w:rsidRDefault="00C8396B" w:rsidP="008050B3"/>
    <w:bookmarkEnd w:id="10"/>
    <w:p w:rsidR="00A10649" w:rsidRPr="00A10649" w:rsidRDefault="00A10649" w:rsidP="00A10649">
      <w:pPr>
        <w:rPr>
          <w:rFonts w:cs="Arial"/>
          <w:b/>
          <w:caps/>
          <w:color w:val="000000" w:themeColor="text1"/>
          <w:szCs w:val="18"/>
        </w:rPr>
      </w:pPr>
      <w:r w:rsidRPr="00A10649">
        <w:rPr>
          <w:rFonts w:cs="Arial"/>
          <w:b/>
          <w:caps/>
          <w:color w:val="000000" w:themeColor="text1"/>
          <w:szCs w:val="18"/>
        </w:rPr>
        <w:t>США анонсировали новые санкции против России из-за ДНР и ЛНР</w:t>
      </w:r>
    </w:p>
    <w:p w:rsidR="00A10649" w:rsidRPr="00A10649" w:rsidRDefault="00A10649" w:rsidP="00A10649">
      <w:r w:rsidRPr="00A10649">
        <w:t xml:space="preserve">США намерены во вторник объявить новые санкции против России как ответ на признание Москвой независимости ДНР и ЛНР, пишет </w:t>
      </w:r>
      <w:proofErr w:type="spellStart"/>
      <w:r w:rsidRPr="00A10649">
        <w:t>Reuters</w:t>
      </w:r>
      <w:proofErr w:type="spellEnd"/>
      <w:r w:rsidRPr="00A10649">
        <w:t xml:space="preserve"> со ссылкой на заявл</w:t>
      </w:r>
      <w:r>
        <w:t>ение представителя Белого дома.</w:t>
      </w:r>
    </w:p>
    <w:p w:rsidR="00C8396B" w:rsidRDefault="00A10649" w:rsidP="008050B3">
      <w:pPr>
        <w:rPr>
          <w:i/>
        </w:rPr>
      </w:pPr>
      <w:r w:rsidRPr="00A10649">
        <w:t xml:space="preserve">Ранее президент Джо Байден подписал указ о вводе санкций в отношении ДНР и ЛНР. Согласно положениям документа, американским гражданам запрещается вести с обеими торговлю, инвестировать в их экономики, а также экспортировать туда товары американского производства или ввозить в США товары из республик. Госсекретарь Энтони </w:t>
      </w:r>
      <w:proofErr w:type="spellStart"/>
      <w:r w:rsidRPr="00A10649">
        <w:t>Блинкен</w:t>
      </w:r>
      <w:proofErr w:type="spellEnd"/>
      <w:r w:rsidRPr="00A10649">
        <w:t xml:space="preserve"> пояснял, что указ направлен на то, чтобы не дать России получить выгоду от признания ДНР и ЛНР.</w:t>
      </w:r>
      <w:r>
        <w:t xml:space="preserve"> </w:t>
      </w:r>
      <w:r w:rsidRPr="00A10649">
        <w:rPr>
          <w:i/>
        </w:rPr>
        <w:t>РБК</w:t>
      </w:r>
    </w:p>
    <w:p w:rsidR="002B6E09" w:rsidRPr="0082054B" w:rsidRDefault="00651B3A" w:rsidP="002B6E09">
      <w:pPr>
        <w:pStyle w:val="a9"/>
      </w:pPr>
      <w:hyperlink r:id="rId19" w:history="1">
        <w:r w:rsidR="002B6E09" w:rsidRPr="0082054B">
          <w:t>ТЕМП РОСТА ВВП РФ В I КВАРТАЛЕ 2022 ГОДА СОСТАВИТ 5,5% В ГОДОВОМ ВЫРАЖЕНИИ</w:t>
        </w:r>
      </w:hyperlink>
    </w:p>
    <w:p w:rsidR="002B6E09" w:rsidRDefault="002B6E09" w:rsidP="002B6E09">
      <w:r>
        <w:t>Темпы роста российской экономики в январе - марте 2022 года составят 5,5% в годовом выражении, следует из доклада Банка России о денежно-кредитной политике.</w:t>
      </w:r>
    </w:p>
    <w:p w:rsidR="002B6E09" w:rsidRDefault="002B6E09" w:rsidP="002B6E09">
      <w:r>
        <w:t>"Рост ВВП по итогам 2021 г. может составить 4,7%, что выше прогноза в предыдущей версии доклада (4-4,5%). На более высокие, чем предполагалось ранее, темпы роста указывают оперативная экономическая статистика за октябрь-декабрь, а также исторически высокое исполнение расходов федерального бюджета в конце 2021 года. Темп роста ВВП в I квартале 2022 г. составит 5,5% в годовом выражении", - указано в докладе.</w:t>
      </w:r>
    </w:p>
    <w:p w:rsidR="002B6E09" w:rsidRDefault="002B6E09" w:rsidP="002B6E09">
      <w:pPr>
        <w:rPr>
          <w:i/>
        </w:rPr>
      </w:pPr>
      <w:r>
        <w:t xml:space="preserve">Банк России не исключает по итогам 2022 года дефицита ликвидности банковского сектора в размере 0,1 трлн рублей. Об этом сообщается в докладе регулятора. </w:t>
      </w:r>
      <w:r w:rsidRPr="00CB630A">
        <w:rPr>
          <w:i/>
        </w:rPr>
        <w:t>ТАСС</w:t>
      </w:r>
      <w:bookmarkStart w:id="11" w:name="_GoBack"/>
      <w:bookmarkEnd w:id="11"/>
    </w:p>
    <w:sectPr w:rsidR="002B6E09" w:rsidSect="005F3758">
      <w:headerReference w:type="default" r:id="rId20"/>
      <w:footerReference w:type="default" r:id="rId21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B3A" w:rsidRDefault="00651B3A">
      <w:r>
        <w:separator/>
      </w:r>
    </w:p>
  </w:endnote>
  <w:endnote w:type="continuationSeparator" w:id="0">
    <w:p w:rsidR="00651B3A" w:rsidRDefault="0065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2F6CC9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2F6CC9">
            <w:rPr>
              <w:rFonts w:cs="Arial"/>
              <w:color w:val="90989E"/>
              <w:sz w:val="16"/>
              <w:szCs w:val="16"/>
            </w:rPr>
            <w:t>22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263297">
            <w:rPr>
              <w:rFonts w:cs="Arial"/>
              <w:color w:val="90989E"/>
              <w:sz w:val="16"/>
              <w:szCs w:val="16"/>
            </w:rPr>
            <w:t>февраля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274F">
            <w:rPr>
              <w:rFonts w:cs="Arial"/>
              <w:color w:val="90989E"/>
              <w:sz w:val="16"/>
              <w:szCs w:val="16"/>
            </w:rPr>
            <w:t>22</w:t>
          </w:r>
          <w:r>
            <w:rPr>
              <w:rFonts w:cs="Arial"/>
              <w:color w:val="90989E"/>
              <w:sz w:val="16"/>
              <w:szCs w:val="16"/>
            </w:rPr>
            <w:t xml:space="preserve"> </w:t>
          </w:r>
          <w:r w:rsidR="002F6CC9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B9155E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2F6CC9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E4368A">
            <w:rPr>
              <w:rFonts w:cs="Arial"/>
              <w:color w:val="90989E"/>
              <w:sz w:val="16"/>
              <w:szCs w:val="16"/>
            </w:rPr>
            <w:t>2</w:t>
          </w:r>
          <w:r w:rsidR="002F6CC9">
            <w:rPr>
              <w:rFonts w:cs="Arial"/>
              <w:color w:val="90989E"/>
              <w:sz w:val="16"/>
              <w:szCs w:val="16"/>
            </w:rPr>
            <w:t>2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263297">
            <w:rPr>
              <w:rFonts w:cs="Arial"/>
              <w:color w:val="90989E"/>
              <w:sz w:val="16"/>
              <w:szCs w:val="16"/>
            </w:rPr>
            <w:t xml:space="preserve">февраля </w:t>
          </w:r>
          <w:r w:rsidR="00FC274F">
            <w:rPr>
              <w:rFonts w:cs="Arial"/>
              <w:color w:val="90989E"/>
              <w:sz w:val="16"/>
              <w:szCs w:val="16"/>
            </w:rPr>
            <w:t xml:space="preserve">2022 </w:t>
          </w:r>
          <w:r w:rsidR="002F6CC9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B9155E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B3A" w:rsidRDefault="00651B3A">
      <w:r>
        <w:separator/>
      </w:r>
    </w:p>
  </w:footnote>
  <w:footnote w:type="continuationSeparator" w:id="0">
    <w:p w:rsidR="00651B3A" w:rsidRDefault="00651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558DD95D" wp14:editId="3DD8BA7F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2054B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7781B0" wp14:editId="09B717D4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53E2AEDF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14" name="Рисунок 14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2054B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113D61EB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4B"/>
    <w:rsid w:val="0003491F"/>
    <w:rsid w:val="00046E29"/>
    <w:rsid w:val="00066C93"/>
    <w:rsid w:val="000836A3"/>
    <w:rsid w:val="000912DA"/>
    <w:rsid w:val="000D0D16"/>
    <w:rsid w:val="00163252"/>
    <w:rsid w:val="00195925"/>
    <w:rsid w:val="001B4E9A"/>
    <w:rsid w:val="001F5AFA"/>
    <w:rsid w:val="001F7614"/>
    <w:rsid w:val="002275B8"/>
    <w:rsid w:val="00263297"/>
    <w:rsid w:val="00270257"/>
    <w:rsid w:val="00296AF7"/>
    <w:rsid w:val="002B6E09"/>
    <w:rsid w:val="002C62A3"/>
    <w:rsid w:val="002E5101"/>
    <w:rsid w:val="002F6CC9"/>
    <w:rsid w:val="003058E2"/>
    <w:rsid w:val="003203A6"/>
    <w:rsid w:val="003B199D"/>
    <w:rsid w:val="003C3C67"/>
    <w:rsid w:val="003F6C14"/>
    <w:rsid w:val="00414286"/>
    <w:rsid w:val="004250F2"/>
    <w:rsid w:val="004304C8"/>
    <w:rsid w:val="00443836"/>
    <w:rsid w:val="00480D88"/>
    <w:rsid w:val="004A4CF2"/>
    <w:rsid w:val="004D37A6"/>
    <w:rsid w:val="005233A0"/>
    <w:rsid w:val="005240C2"/>
    <w:rsid w:val="00583B5F"/>
    <w:rsid w:val="005F3758"/>
    <w:rsid w:val="00604F1E"/>
    <w:rsid w:val="006402CA"/>
    <w:rsid w:val="00651B3A"/>
    <w:rsid w:val="006E0E63"/>
    <w:rsid w:val="006E64AC"/>
    <w:rsid w:val="006F1FEC"/>
    <w:rsid w:val="007102C7"/>
    <w:rsid w:val="00714B6C"/>
    <w:rsid w:val="00722F18"/>
    <w:rsid w:val="0074571A"/>
    <w:rsid w:val="00750476"/>
    <w:rsid w:val="007534C0"/>
    <w:rsid w:val="007910D0"/>
    <w:rsid w:val="007F0AB1"/>
    <w:rsid w:val="008050B3"/>
    <w:rsid w:val="0082054B"/>
    <w:rsid w:val="00880679"/>
    <w:rsid w:val="00917639"/>
    <w:rsid w:val="00985DA8"/>
    <w:rsid w:val="009B4B1F"/>
    <w:rsid w:val="009F5BD0"/>
    <w:rsid w:val="00A10649"/>
    <w:rsid w:val="00A12D82"/>
    <w:rsid w:val="00A26751"/>
    <w:rsid w:val="00AA1368"/>
    <w:rsid w:val="00AB7702"/>
    <w:rsid w:val="00B81483"/>
    <w:rsid w:val="00B9155E"/>
    <w:rsid w:val="00B922A1"/>
    <w:rsid w:val="00BA6C66"/>
    <w:rsid w:val="00BC4068"/>
    <w:rsid w:val="00BE09AE"/>
    <w:rsid w:val="00BF48EC"/>
    <w:rsid w:val="00C14B74"/>
    <w:rsid w:val="00C14EA4"/>
    <w:rsid w:val="00C23AC3"/>
    <w:rsid w:val="00C53F9F"/>
    <w:rsid w:val="00C75EE3"/>
    <w:rsid w:val="00C8396B"/>
    <w:rsid w:val="00C87324"/>
    <w:rsid w:val="00C90FBF"/>
    <w:rsid w:val="00C9507B"/>
    <w:rsid w:val="00CD2DDE"/>
    <w:rsid w:val="00CD5A45"/>
    <w:rsid w:val="00D17DC7"/>
    <w:rsid w:val="00D27AC7"/>
    <w:rsid w:val="00D52CCC"/>
    <w:rsid w:val="00D543F3"/>
    <w:rsid w:val="00DF14A6"/>
    <w:rsid w:val="00E12208"/>
    <w:rsid w:val="00E4368A"/>
    <w:rsid w:val="00E732BC"/>
    <w:rsid w:val="00E97A3D"/>
    <w:rsid w:val="00EA7B65"/>
    <w:rsid w:val="00EE1C9B"/>
    <w:rsid w:val="00F41E23"/>
    <w:rsid w:val="00F62502"/>
    <w:rsid w:val="00F65057"/>
    <w:rsid w:val="00F716F3"/>
    <w:rsid w:val="00F77CEC"/>
    <w:rsid w:val="00FA6126"/>
    <w:rsid w:val="00FB522B"/>
    <w:rsid w:val="00FC274F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71F842-F15C-44AC-BEC9-0A8E299F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B9155E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15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1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66209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50144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508557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8703">
                  <w:marLeft w:val="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68038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5883">
              <w:marLeft w:val="0"/>
              <w:marRight w:val="375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14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96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83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155891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3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7842">
          <w:marLeft w:val="0"/>
          <w:marRight w:val="165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59404">
                      <w:marLeft w:val="495"/>
                      <w:marRight w:val="4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45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30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2036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single" w:sz="6" w:space="1" w:color="FFFFFF"/>
                                    <w:left w:val="single" w:sz="6" w:space="6" w:color="FFFFFF"/>
                                    <w:bottom w:val="single" w:sz="6" w:space="1" w:color="FFFFFF"/>
                                    <w:right w:val="single" w:sz="6" w:space="6" w:color="FFFFFF"/>
                                  </w:divBdr>
                                  <w:divsChild>
                                    <w:div w:id="40561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50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34407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651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8667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83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0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26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71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43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064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22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65759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91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7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5011">
              <w:marLeft w:val="495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332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2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4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05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68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2493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9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250236">
                                  <w:marLeft w:val="0"/>
                                  <w:marRight w:val="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18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15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29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58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41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92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0039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2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70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55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264422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57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4B4B4"/>
                                                <w:left w:val="single" w:sz="6" w:space="0" w:color="B4B4B4"/>
                                                <w:bottom w:val="single" w:sz="6" w:space="0" w:color="B4B4B4"/>
                                                <w:right w:val="single" w:sz="6" w:space="0" w:color="B4B4B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478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1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9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pnp.ru/economics/individualnye-predprinimateli-eksportery-agroprodukcii-poluchat-lgoty.html" TargetMode="External"/><Relationship Id="rId18" Type="http://schemas.openxmlformats.org/officeDocument/2006/relationships/hyperlink" Target="https://www.interfax-russia.ru/south-and-north-caucasus/news/rostovskaya-oblast-ko-ii-polugodiyu-predstavit-koncepciyu-razvitiya-v-regione-molochnogo-zhivotnovodstva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1prime.ru/state_regulation/20220221/836117567.html" TargetMode="External"/><Relationship Id="rId12" Type="http://schemas.openxmlformats.org/officeDocument/2006/relationships/hyperlink" Target="https://1prime.ru/state_regulation/20220221/836119267.html" TargetMode="External"/><Relationship Id="rId17" Type="http://schemas.openxmlformats.org/officeDocument/2006/relationships/hyperlink" Target="https://milknews.ru/interviu-i-blogi/truhachev-mneni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terfax.ru/business/823423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prime.ru/state_regulation/20220221/836121461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ilknews.ru/index/grenada-rossii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z.ru/1294633/maksim-khodykin-tatiana-baikova/zverinyi-nakal-v-rossii-predlozhili-vvesti-markirovku-vetpreparatov" TargetMode="External"/><Relationship Id="rId19" Type="http://schemas.openxmlformats.org/officeDocument/2006/relationships/hyperlink" Target="https://tass.ru/ekonomika/13785769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tass.ru/ekonomika/13785499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45</TotalTime>
  <Pages>6</Pages>
  <Words>2925</Words>
  <Characters>16675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31</cp:revision>
  <cp:lastPrinted>2022-02-22T06:48:00Z</cp:lastPrinted>
  <dcterms:created xsi:type="dcterms:W3CDTF">2022-02-22T05:19:00Z</dcterms:created>
  <dcterms:modified xsi:type="dcterms:W3CDTF">2022-02-22T06:49:00Z</dcterms:modified>
</cp:coreProperties>
</file>