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DE0C03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 w:rsidRPr="00C94E1D">
        <w:rPr>
          <w:rFonts w:ascii="Times New Roman" w:hAnsi="Times New Roman"/>
          <w:b/>
          <w:color w:val="008B53"/>
          <w:sz w:val="40"/>
          <w:szCs w:val="72"/>
          <w:lang w:eastAsia="en-US"/>
        </w:rPr>
        <w:t>16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:00 </w:t>
      </w:r>
      <w:r w:rsidRPr="00C94E1D">
        <w:rPr>
          <w:rFonts w:ascii="Times New Roman" w:hAnsi="Times New Roman"/>
          <w:b/>
          <w:color w:val="008B53"/>
          <w:sz w:val="40"/>
          <w:szCs w:val="72"/>
          <w:lang w:eastAsia="en-US"/>
        </w:rPr>
        <w:t>26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 w:rsidRPr="00C94E1D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:00 27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DE0C03" w:rsidP="00FC274F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27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января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DE0C03" w:rsidRDefault="00DE0C03" w:rsidP="00271323">
            <w:bookmarkStart w:id="4" w:name="SEC_2"/>
          </w:p>
          <w:p w:rsidR="00DE0C03" w:rsidRDefault="00DE0C03" w:rsidP="00DE0C03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DE0C03" w:rsidRPr="00EA5E39" w:rsidRDefault="00DE0C03" w:rsidP="00271323"/>
          <w:p w:rsidR="00271323" w:rsidRDefault="00271323" w:rsidP="00271323">
            <w:r w:rsidRPr="00EA5E39">
              <w:t>27 января</w:t>
            </w:r>
            <w:r w:rsidR="00C94E1D">
              <w:t xml:space="preserve"> - </w:t>
            </w:r>
            <w:r w:rsidRPr="00EA5E39">
              <w:t>День полного освобождения Ленинграда от фашистской блокады</w:t>
            </w:r>
            <w:r w:rsidR="00C94E1D">
              <w:t>;</w:t>
            </w:r>
          </w:p>
          <w:p w:rsidR="00C94E1D" w:rsidRPr="00EA5E39" w:rsidRDefault="00C94E1D" w:rsidP="00271323"/>
          <w:p w:rsidR="00271323" w:rsidRPr="00EA5E39" w:rsidRDefault="00C94E1D" w:rsidP="00271323">
            <w:pPr>
              <w:rPr>
                <w:i/>
              </w:rPr>
            </w:pPr>
            <w:r w:rsidRPr="00EA5E39">
              <w:t>27 января</w:t>
            </w:r>
            <w:r>
              <w:t xml:space="preserve"> - </w:t>
            </w:r>
            <w:r w:rsidR="00271323" w:rsidRPr="00EA5E39">
              <w:t>Международный день памяти жертв Холокоста</w:t>
            </w:r>
            <w:r>
              <w:t>.</w:t>
            </w:r>
          </w:p>
          <w:p w:rsidR="00C8396B" w:rsidRPr="00271323" w:rsidRDefault="00C8396B" w:rsidP="00271323"/>
          <w:bookmarkEnd w:id="4"/>
          <w:p w:rsidR="00C8396B" w:rsidRDefault="00C8396B" w:rsidP="00271323">
            <w:pPr>
              <w:jc w:val="left"/>
            </w:pP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271323" w:rsidRDefault="00224FD4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:rsidR="00C94E1D" w:rsidRPr="00271323" w:rsidRDefault="0075290A" w:rsidP="00C94E1D">
            <w:pPr>
              <w:pStyle w:val="a9"/>
            </w:pPr>
            <w:hyperlink r:id="rId7" w:history="1">
              <w:r w:rsidR="00C94E1D" w:rsidRPr="00271323">
                <w:t>В 2022 ГОДУ ГОСПОДДЕРЖКА СЕЛЬСКОХОЗЯЙСТВЕННЫХ КООПЕРАТИВОВ БУДЕТ УВЕЛИЧЕНА ПОЧТИ В ДВА РАЗА</w:t>
              </w:r>
            </w:hyperlink>
          </w:p>
          <w:p w:rsidR="00C94E1D" w:rsidRDefault="00C94E1D" w:rsidP="00C94E1D">
            <w:r>
              <w:t>На эти цели запланировано направить около 5 млрд рублей бюджетных средств - на 40% больше, чем в 2021 году.</w:t>
            </w:r>
          </w:p>
          <w:p w:rsidR="00C94E1D" w:rsidRDefault="00C94E1D" w:rsidP="00C94E1D">
            <w:r>
              <w:t xml:space="preserve">В целях стимулирования процесса объединения малых форм хозяйствования </w:t>
            </w:r>
            <w:r w:rsidRPr="00271323">
              <w:rPr>
                <w:b/>
              </w:rPr>
              <w:t>Минсельхоз России</w:t>
            </w:r>
            <w:r>
              <w:t xml:space="preserve"> последовательно реализует ряд мер поддержки. Так, с 2015 года сельскохозяйственные потребительские кооперативы могут получать гранты, максимальный размер которых составляет 70 млн рублей. В целом за семь лет на гранты было направлено порядка 12 млрд рублей, что позволило осуществить свыше тысячи проектов.</w:t>
            </w:r>
          </w:p>
          <w:p w:rsidR="00C8396B" w:rsidRPr="00C94E1D" w:rsidRDefault="00C94E1D" w:rsidP="00C94E1D">
            <w:pPr>
              <w:rPr>
                <w:i/>
              </w:rPr>
            </w:pPr>
            <w:r>
              <w:t xml:space="preserve">Кроме того, с 2019 года действуют дополнительные механизмы поддержки, которые охватывают практически все типы кооперативов, в том числе вновь созданные. В прошлом году такие меры реализовывались в 72 регионах России. Адресную поддержку в объеме 1,3 млрд рублей получили 512 кооперативов. </w:t>
            </w:r>
            <w:r>
              <w:rPr>
                <w:i/>
              </w:rPr>
              <w:t xml:space="preserve">Крестьянские Ведомости </w:t>
            </w:r>
            <w:bookmarkEnd w:id="5"/>
          </w:p>
        </w:tc>
      </w:tr>
    </w:tbl>
    <w:p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1B0BCC" w:rsidRDefault="001B0BCC" w:rsidP="00CC7006">
      <w:pPr>
        <w:pStyle w:val="a9"/>
        <w:spacing w:before="0"/>
      </w:pPr>
      <w:bookmarkStart w:id="8" w:name="SEC_3"/>
      <w:r>
        <w:lastRenderedPageBreak/>
        <w:t xml:space="preserve">Сельхозорганизации РФ к 17 января увеличили суточную реализацию молока на 1,9% </w:t>
      </w:r>
    </w:p>
    <w:p w:rsidR="001B0BCC" w:rsidRPr="001B0BCC" w:rsidRDefault="001B0BCC" w:rsidP="00CC7006">
      <w:proofErr w:type="spellStart"/>
      <w:r w:rsidRPr="001B0BCC">
        <w:t>Сельхозорганизации</w:t>
      </w:r>
      <w:proofErr w:type="spellEnd"/>
      <w:r w:rsidRPr="001B0BCC">
        <w:t xml:space="preserve"> РФ, по данным на 17 января, довели суточную реализацию молока до 49,56 тыс. тонн, что на 1,9% больше, чем на аналогичную дату прошлого года, сообщает </w:t>
      </w:r>
      <w:r w:rsidRPr="001B0BCC">
        <w:rPr>
          <w:b/>
        </w:rPr>
        <w:t>Минсельхоз.</w:t>
      </w:r>
    </w:p>
    <w:p w:rsidR="001B0BCC" w:rsidRPr="00CC7006" w:rsidRDefault="001B0BCC" w:rsidP="001B0BCC">
      <w:r w:rsidRPr="001B0BCC">
        <w:t>Максимальные объемы реализации достигнуты в Татарстане, Удмуртии, Краснодарском крае, Воронежской, Кировской, Свердловской, Белгородской, Новосибирской, Лени</w:t>
      </w:r>
      <w:r>
        <w:t>нградской, Московской областях.</w:t>
      </w:r>
      <w:r w:rsidR="00CC7006">
        <w:t xml:space="preserve"> </w:t>
      </w:r>
      <w:r w:rsidRPr="001B0BCC">
        <w:rPr>
          <w:i/>
        </w:rPr>
        <w:t>Интерфакс</w:t>
      </w:r>
    </w:p>
    <w:p w:rsidR="008F4B22" w:rsidRDefault="008F4B22" w:rsidP="008F4B22">
      <w:pPr>
        <w:pStyle w:val="a9"/>
      </w:pPr>
      <w:r>
        <w:t>Минсельхоз назвал плюсы маркировки животных</w:t>
      </w:r>
    </w:p>
    <w:p w:rsidR="008F4B22" w:rsidRPr="008F4B22" w:rsidRDefault="008F4B22" w:rsidP="008F4B22">
      <w:r w:rsidRPr="008F4B22">
        <w:t xml:space="preserve">Организация системы идентификации животных в России позволит точно узнать, сколько в стране </w:t>
      </w:r>
      <w:proofErr w:type="spellStart"/>
      <w:r w:rsidRPr="008F4B22">
        <w:t>сельхозживотных</w:t>
      </w:r>
      <w:proofErr w:type="spellEnd"/>
      <w:r w:rsidRPr="008F4B22">
        <w:t xml:space="preserve">, предусмотреть необходимые затраты на животноводство и эффективно планировать развитие отрасли. Об этом сообщила директор Департамента ветеринарии Минсельхоза РФ Мария Новикова во время круглого стола на Международной выставке животноводства, племенного дела и кормопроизводства </w:t>
      </w:r>
      <w:proofErr w:type="spellStart"/>
      <w:r w:rsidRPr="008F4B22">
        <w:t>Agros</w:t>
      </w:r>
      <w:proofErr w:type="spellEnd"/>
      <w:r w:rsidRPr="008F4B22">
        <w:t xml:space="preserve"> 2022.</w:t>
      </w:r>
    </w:p>
    <w:p w:rsidR="008F4B22" w:rsidRPr="008F4B22" w:rsidRDefault="008F4B22" w:rsidP="008F4B22">
      <w:r w:rsidRPr="008F4B22">
        <w:t xml:space="preserve"> «Система идентификации станет надежным подспорьем в предотвращении распространения заразных болезней и оперативном выявлении источников инфекции. В настоящее время мы располагаем информацией о поголовье </w:t>
      </w:r>
      <w:proofErr w:type="spellStart"/>
      <w:r w:rsidRPr="008F4B22">
        <w:t>сельхозживотных</w:t>
      </w:r>
      <w:proofErr w:type="spellEnd"/>
      <w:r w:rsidRPr="008F4B22">
        <w:t xml:space="preserve">, опираясь на данные Росстата. Однако из-за отсутствия учета фактическое число поголовья разнится в значительной степени», – пояснила она. </w:t>
      </w:r>
      <w:r w:rsidR="00352A5D" w:rsidRPr="00352A5D">
        <w:rPr>
          <w:i/>
        </w:rPr>
        <w:t>Ветеринария и жизнь</w:t>
      </w:r>
    </w:p>
    <w:p w:rsidR="008F4B22" w:rsidRDefault="008F4B22" w:rsidP="008F4B22">
      <w:pPr>
        <w:pStyle w:val="a9"/>
        <w:spacing w:before="0"/>
      </w:pPr>
    </w:p>
    <w:p w:rsidR="00C94E1D" w:rsidRPr="006F432C" w:rsidRDefault="00671BC2" w:rsidP="008F4B22">
      <w:pPr>
        <w:pStyle w:val="a9"/>
        <w:spacing w:before="0"/>
      </w:pPr>
      <w:r>
        <w:t>цены на ХЛЕБ</w:t>
      </w:r>
    </w:p>
    <w:p w:rsidR="00C94E1D" w:rsidRPr="00C94E1D" w:rsidRDefault="00C94E1D" w:rsidP="00C94E1D">
      <w:r>
        <w:t xml:space="preserve">В: Причин для сильного подорожания хлеба в России нет, считают в </w:t>
      </w:r>
      <w:proofErr w:type="spellStart"/>
      <w:r w:rsidRPr="006F432C">
        <w:rPr>
          <w:b/>
        </w:rPr>
        <w:t>минсельхозе</w:t>
      </w:r>
      <w:proofErr w:type="spellEnd"/>
      <w:r>
        <w:t>. За последний месяц цены на пшеницу почти не менялись. Темпы роста стоимости зерна, хлеба и муки в течение прошедшего года были ниже уровня общей инфляции. А мукомольные и хлебопекарные предприятия за год получили почти 5 миллиардов рублей дополнительных субсидий. Это помогло стабилизировать внутренние цены. Вместе с тем в министерстве допустили случаи пересм</w:t>
      </w:r>
      <w:r w:rsidR="0048153B">
        <w:t xml:space="preserve">отра цен на отдельные продукты. </w:t>
      </w:r>
      <w:r w:rsidRPr="003A6B0C">
        <w:rPr>
          <w:i/>
        </w:rPr>
        <w:t xml:space="preserve">РБК ТВ </w:t>
      </w:r>
    </w:p>
    <w:p w:rsidR="00C94E1D" w:rsidRPr="006F432C" w:rsidRDefault="0075290A" w:rsidP="006A48CB">
      <w:pPr>
        <w:pStyle w:val="a9"/>
        <w:spacing w:before="0"/>
      </w:pPr>
      <w:hyperlink r:id="rId10" w:history="1">
        <w:r w:rsidR="00C94E1D" w:rsidRPr="006F432C">
          <w:t>ЭКСПОРТ ПРОДУКЦИИ АПК ИЗ РОССИИ С НАЧАЛА 2022 ГОДА СНИЗИЛСЯ НА 9%</w:t>
        </w:r>
      </w:hyperlink>
    </w:p>
    <w:p w:rsidR="00C94E1D" w:rsidRDefault="00C94E1D" w:rsidP="00C94E1D">
      <w:r>
        <w:t>Экспорт продукции АПК из РФ с начала 2022 года по 23 января снизился на 9% по сравнению с показателем за аналогичный период 2021 года и составил $1 млрд 109 млн. Об этом говорится в материалах федерального центра "</w:t>
      </w:r>
      <w:proofErr w:type="spellStart"/>
      <w:r>
        <w:t>Агроэкспорт</w:t>
      </w:r>
      <w:proofErr w:type="spellEnd"/>
      <w:r>
        <w:t xml:space="preserve">" при </w:t>
      </w:r>
      <w:r w:rsidRPr="006F432C">
        <w:rPr>
          <w:b/>
        </w:rPr>
        <w:t>Минсельхозе РФ</w:t>
      </w:r>
      <w:r>
        <w:t>.</w:t>
      </w:r>
    </w:p>
    <w:p w:rsidR="00C94E1D" w:rsidRPr="00C94E1D" w:rsidRDefault="00C94E1D" w:rsidP="00C94E1D">
      <w:r>
        <w:t xml:space="preserve">По данным аналитиков, экспорт зерновых снизился на 39%, до $316 млн, масложировой продукции - вырос на 16%, до $303 млн, рыбы и морепродуктов - на 34%, до $171 млн. Поставки мясной и молочной продукции увеличились на 19%, до $47 млн, продукции пищевой и перерабатывающей промышленности - на 22%, до $121 млн. Экспорт прочей продукции АПК снизился на 17%, до $151 млн. </w:t>
      </w:r>
      <w:r w:rsidRPr="003A6B0C">
        <w:rPr>
          <w:i/>
        </w:rPr>
        <w:t>ТАСС, MilkNews.ru</w:t>
      </w:r>
      <w:r>
        <w:rPr>
          <w:i/>
        </w:rPr>
        <w:t xml:space="preserve">, </w:t>
      </w:r>
      <w:r w:rsidRPr="003A6B0C">
        <w:rPr>
          <w:i/>
        </w:rPr>
        <w:t>ПРАЙМ</w:t>
      </w:r>
    </w:p>
    <w:p w:rsidR="00271323" w:rsidRDefault="00F62502" w:rsidP="009B4FAE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994554" w:rsidRPr="00271323" w:rsidRDefault="0075290A" w:rsidP="00994554">
      <w:pPr>
        <w:pStyle w:val="a9"/>
      </w:pPr>
      <w:hyperlink r:id="rId11" w:history="1">
        <w:r w:rsidR="00994554" w:rsidRPr="00271323">
          <w:t>ПУТИН ОТМЕТИЛ ВОЗРОЖДЕНИЕ ТРАДИЦИИ СЕЛЬСКОХОЗЯЙСТВЕННОЙ КООПЕРАЦИИ В РОССИИ</w:t>
        </w:r>
      </w:hyperlink>
    </w:p>
    <w:p w:rsidR="00994554" w:rsidRDefault="00994554" w:rsidP="00994554">
      <w:r w:rsidRPr="0006003C">
        <w:t>Президент России Владимир Путин</w:t>
      </w:r>
      <w:r>
        <w:t xml:space="preserve"> поприветствовал участников и гостей девятого Всероссийского съезда </w:t>
      </w:r>
      <w:r w:rsidRPr="0006003C">
        <w:t>сельскохозяйственных</w:t>
      </w:r>
      <w:r>
        <w:t xml:space="preserve"> кооперативов, отметив, что традиции отечественной </w:t>
      </w:r>
      <w:proofErr w:type="spellStart"/>
      <w:r>
        <w:t>сельхозкооперации</w:t>
      </w:r>
      <w:proofErr w:type="spellEnd"/>
      <w:r>
        <w:t xml:space="preserve"> возрождаются, соответствующая телеграмма опубликована на сайте Кремля.</w:t>
      </w:r>
    </w:p>
    <w:p w:rsidR="00994554" w:rsidRPr="00994554" w:rsidRDefault="00994554" w:rsidP="00994554">
      <w:pPr>
        <w:rPr>
          <w:i/>
        </w:rPr>
      </w:pPr>
      <w:r w:rsidRPr="0006003C">
        <w:t>Путин</w:t>
      </w:r>
      <w:r>
        <w:t xml:space="preserve"> подчеркнул, что кооперация играла важную роль в хозяйственной жизни страны на протяжении многих десятилетий, а потребительские и производственные общества активно участвовали в заготовке, переработке и реализации аграрной продукции, в торговом и бытовом обслуживании в </w:t>
      </w:r>
      <w:r w:rsidRPr="0006003C">
        <w:t>сельской</w:t>
      </w:r>
      <w:r>
        <w:t xml:space="preserve"> местности. Он добавил, что эти общества многое сделали для стабильного социально-экономического развития регионов и повышения благосостояния граждан благодаря своей энергии, деловой хватке и ответственности. </w:t>
      </w:r>
      <w:r w:rsidRPr="00F450C6">
        <w:rPr>
          <w:i/>
        </w:rPr>
        <w:t>РИА Новости, MilkN</w:t>
      </w:r>
      <w:r>
        <w:rPr>
          <w:i/>
        </w:rPr>
        <w:t xml:space="preserve">ews.ru, Крестьянские Ведомости, </w:t>
      </w:r>
      <w:r w:rsidRPr="00F450C6">
        <w:rPr>
          <w:i/>
        </w:rPr>
        <w:t>ПРАЙМ</w:t>
      </w:r>
    </w:p>
    <w:p w:rsidR="00EF18DD" w:rsidRPr="00271323" w:rsidRDefault="0075290A" w:rsidP="00EF18DD">
      <w:pPr>
        <w:pStyle w:val="a9"/>
      </w:pPr>
      <w:hyperlink r:id="rId12" w:history="1">
        <w:r w:rsidR="00EF18DD" w:rsidRPr="00271323">
          <w:t>ПУТИН ЗАЯВИЛ, ЧТО ИТАЛЬЯНСКИЙ БИЗНЕС ПРОЯВЛЯЕТ ИНТЕРЕС К СЕЛЬСКОМУ ХОЗЯЙСТВУ РОССИИ</w:t>
        </w:r>
      </w:hyperlink>
    </w:p>
    <w:p w:rsidR="00EF18DD" w:rsidRDefault="00EF18DD" w:rsidP="00EF18DD">
      <w:r>
        <w:t xml:space="preserve">Итальянские предприниматели проявляют интерес к </w:t>
      </w:r>
      <w:r w:rsidRPr="0006003C">
        <w:t>сельскому хозяйству</w:t>
      </w:r>
      <w:r>
        <w:t xml:space="preserve"> РФ, заявил </w:t>
      </w:r>
      <w:r w:rsidRPr="0006003C">
        <w:t>президент России Владимир Путин</w:t>
      </w:r>
      <w:r>
        <w:t>. На совещании с членами правительства он рассказал, что ранее сегодня проводил встречу с представителями итальянского бизнеса.</w:t>
      </w:r>
    </w:p>
    <w:p w:rsidR="00EF18DD" w:rsidRPr="00F450C6" w:rsidRDefault="00EF18DD" w:rsidP="00EF18DD">
      <w:pPr>
        <w:rPr>
          <w:i/>
        </w:rPr>
      </w:pPr>
      <w:r>
        <w:t xml:space="preserve">Как подчеркнул глава государства, "чтобы </w:t>
      </w:r>
      <w:r w:rsidRPr="0006003C">
        <w:t>сельское хозяйство</w:t>
      </w:r>
      <w:r>
        <w:t xml:space="preserve"> развивалось, недостаточно только вкладывать деньги, а деньги вкладываются значительные". "Нужно проявлять должное внимание и заботу к людям, которые проживают на селе", - добавил он. </w:t>
      </w:r>
      <w:r w:rsidRPr="00F450C6">
        <w:rPr>
          <w:i/>
        </w:rPr>
        <w:t>ТАСС, Крестьянски</w:t>
      </w:r>
      <w:r>
        <w:rPr>
          <w:i/>
        </w:rPr>
        <w:t xml:space="preserve">е Ведомости </w:t>
      </w:r>
    </w:p>
    <w:p w:rsidR="00B96BD4" w:rsidRDefault="00B96BD4" w:rsidP="0068344D">
      <w:pPr>
        <w:rPr>
          <w:rFonts w:cs="Arial"/>
          <w:b/>
          <w:caps/>
          <w:color w:val="000000" w:themeColor="text1"/>
          <w:szCs w:val="18"/>
        </w:rPr>
      </w:pPr>
    </w:p>
    <w:p w:rsidR="0068344D" w:rsidRDefault="0068344D" w:rsidP="0068344D">
      <w:pPr>
        <w:rPr>
          <w:rFonts w:cs="Arial"/>
          <w:b/>
          <w:caps/>
          <w:color w:val="000000" w:themeColor="text1"/>
          <w:szCs w:val="18"/>
        </w:rPr>
      </w:pPr>
      <w:r w:rsidRPr="0068344D">
        <w:rPr>
          <w:rFonts w:cs="Arial"/>
          <w:b/>
          <w:caps/>
          <w:color w:val="000000" w:themeColor="text1"/>
          <w:szCs w:val="18"/>
        </w:rPr>
        <w:t>Правительство</w:t>
      </w:r>
      <w:r>
        <w:rPr>
          <w:rFonts w:cs="Arial"/>
          <w:b/>
          <w:caps/>
          <w:color w:val="000000" w:themeColor="text1"/>
          <w:szCs w:val="18"/>
        </w:rPr>
        <w:t xml:space="preserve"> РФ в 2021 году</w:t>
      </w:r>
      <w:r w:rsidRPr="0068344D">
        <w:rPr>
          <w:rFonts w:cs="Arial"/>
          <w:b/>
          <w:caps/>
          <w:color w:val="000000" w:themeColor="text1"/>
          <w:szCs w:val="18"/>
        </w:rPr>
        <w:t xml:space="preserve"> направило дополнительно почти 11 млрд ру</w:t>
      </w:r>
      <w:r>
        <w:rPr>
          <w:rFonts w:cs="Arial"/>
          <w:b/>
          <w:caps/>
          <w:color w:val="000000" w:themeColor="text1"/>
          <w:szCs w:val="18"/>
        </w:rPr>
        <w:t xml:space="preserve">б. на улучшение жизни на селе </w:t>
      </w:r>
    </w:p>
    <w:p w:rsidR="0068344D" w:rsidRPr="0068344D" w:rsidRDefault="0068344D" w:rsidP="0068344D">
      <w:r w:rsidRPr="0068344D">
        <w:t xml:space="preserve">Дополнительное финансирование госпрограммы комплексного развития сельских территорий в РФ в 2021 году составило 10,7 млрд рублей, сообщила вице-премьер </w:t>
      </w:r>
      <w:r w:rsidRPr="00A06520">
        <w:rPr>
          <w:b/>
        </w:rPr>
        <w:t>Виктория</w:t>
      </w:r>
      <w:r w:rsidRPr="0068344D">
        <w:t xml:space="preserve"> </w:t>
      </w:r>
      <w:proofErr w:type="spellStart"/>
      <w:r w:rsidRPr="00A06520">
        <w:rPr>
          <w:b/>
        </w:rPr>
        <w:t>Абрамченко</w:t>
      </w:r>
      <w:proofErr w:type="spellEnd"/>
      <w:r w:rsidRPr="0068344D">
        <w:t xml:space="preserve"> на оперативном совещании президента РФ Вла</w:t>
      </w:r>
      <w:r>
        <w:t>димира Путина с правительством.</w:t>
      </w:r>
    </w:p>
    <w:p w:rsidR="0068344D" w:rsidRPr="0068344D" w:rsidRDefault="0068344D" w:rsidP="0068344D">
      <w:r w:rsidRPr="0068344D">
        <w:t xml:space="preserve">Как подчеркнула вице-премьер, улучшение жилищных условий жителей села является безусловным приоритетом. "Я говорю об инструменте сельской ипотеки, которая выдается по низкой ставке - максимум 3% годовых. За прошедший год одобрено кредитов на сумму более 98 млрд рублей. Это позволило улучшить жилищные условия 51 тыс. семей. Всего благодаря сельской ипотеке за два года улучшили жилищные условия </w:t>
      </w:r>
      <w:r>
        <w:t>96 тыс. семей", - сообщила она.</w:t>
      </w:r>
    </w:p>
    <w:p w:rsidR="00994554" w:rsidRPr="00F450C6" w:rsidRDefault="0068344D" w:rsidP="0068344D">
      <w:pPr>
        <w:rPr>
          <w:i/>
        </w:rPr>
      </w:pPr>
      <w:r w:rsidRPr="0068344D">
        <w:t>В этом году в бюджете на мероприятия программы предусмотрено 40,7 млрд рублей. Средства будут направлены на реализацию проектов по благоустройству, созданию комфортной среды для жизни и работы на сельских территориях и субсидирование ранее выданных кредитов по сельской ипотеке.</w:t>
      </w:r>
      <w:r w:rsidR="00994554">
        <w:t xml:space="preserve"> </w:t>
      </w:r>
      <w:r w:rsidR="00994554" w:rsidRPr="00F450C6">
        <w:rPr>
          <w:i/>
        </w:rPr>
        <w:t>ТАСС</w:t>
      </w:r>
      <w:r w:rsidR="009D3C70">
        <w:rPr>
          <w:i/>
        </w:rPr>
        <w:t>, Интерфакс, Российская газета</w:t>
      </w:r>
    </w:p>
    <w:p w:rsidR="0004390F" w:rsidRPr="00271323" w:rsidRDefault="0075290A" w:rsidP="0004390F">
      <w:pPr>
        <w:pStyle w:val="a9"/>
      </w:pPr>
      <w:hyperlink r:id="rId13" w:history="1">
        <w:r w:rsidR="0004390F" w:rsidRPr="00271323">
          <w:t>ГД ПРИНЯЛА В I ЧТЕНИИ ЗАКОНОПРОЕКТ О СОЗДАНИИ ИНФОРМАЦИОННОЙ СИСТЕМЫ ЦИФРОВЫХ СЕРВИСОВ АПК</w:t>
        </w:r>
      </w:hyperlink>
    </w:p>
    <w:p w:rsidR="0004390F" w:rsidRDefault="0004390F" w:rsidP="0004390F">
      <w:r>
        <w:t>Госдума на пленарном заседании приняла в первом чтении правительственный законопроект о создании информационной системы цифровых сервисов агропромышленного комплекса (АПК).</w:t>
      </w:r>
    </w:p>
    <w:p w:rsidR="0004390F" w:rsidRPr="0004390F" w:rsidRDefault="0004390F" w:rsidP="0004390F">
      <w:r>
        <w:t xml:space="preserve">Информационная система создается в целях формирования механизмов и правовых основ предоставления мер господдержки в сфере АПК в электронном виде. В частности, уверены в </w:t>
      </w:r>
      <w:proofErr w:type="spellStart"/>
      <w:r>
        <w:t>кабмине</w:t>
      </w:r>
      <w:proofErr w:type="spellEnd"/>
      <w:r>
        <w:t xml:space="preserve">, нововведение "позволит обеспечить перевод в электронный вид и повышение результативности мер государственной поддержки в сфере сельского хозяйства, а также сокращение затрат сельскохозяйственных товаропроизводителей на представление отчетности и ее перевод в электронный вид". </w:t>
      </w:r>
      <w:r w:rsidRPr="000934AD">
        <w:rPr>
          <w:i/>
        </w:rPr>
        <w:t>ТАСС</w:t>
      </w:r>
    </w:p>
    <w:p w:rsidR="00CC7006" w:rsidRDefault="00CC7006" w:rsidP="00CC7006">
      <w:pPr>
        <w:rPr>
          <w:rFonts w:cs="Arial"/>
          <w:b/>
          <w:caps/>
          <w:color w:val="000000" w:themeColor="text1"/>
          <w:szCs w:val="18"/>
        </w:rPr>
      </w:pPr>
    </w:p>
    <w:p w:rsidR="00CC7006" w:rsidRPr="00CC7006" w:rsidRDefault="00CC7006" w:rsidP="00CC7006">
      <w:pPr>
        <w:rPr>
          <w:rFonts w:cs="Arial"/>
          <w:b/>
          <w:caps/>
          <w:color w:val="000000" w:themeColor="text1"/>
          <w:szCs w:val="18"/>
        </w:rPr>
      </w:pPr>
      <w:r w:rsidRPr="00CC7006">
        <w:rPr>
          <w:rFonts w:cs="Arial"/>
          <w:b/>
          <w:caps/>
          <w:color w:val="000000" w:themeColor="text1"/>
          <w:szCs w:val="18"/>
        </w:rPr>
        <w:t>Минимальный объем биржевой торговли рыбой в РФ</w:t>
      </w:r>
      <w:r>
        <w:rPr>
          <w:rFonts w:cs="Arial"/>
          <w:b/>
          <w:caps/>
          <w:color w:val="000000" w:themeColor="text1"/>
          <w:szCs w:val="18"/>
        </w:rPr>
        <w:t xml:space="preserve"> может составить до 20% рынка </w:t>
      </w:r>
    </w:p>
    <w:p w:rsidR="00CC7006" w:rsidRPr="00CC7006" w:rsidRDefault="00CC7006" w:rsidP="00CC7006">
      <w:r w:rsidRPr="00CC7006">
        <w:t>Минимальный объем биржевой торговли основными видами рыбной продукции в РФ может быть установлен на уровне 20% от поставок на внутренний рынок, сообщил "Интерфаксу" источник, знакомый с проектом плана мероприятий по развитию биржевой торговли (дорожная карта") на 2022-2025 годы, который подготовила ФАС.</w:t>
      </w:r>
    </w:p>
    <w:p w:rsidR="00CC7006" w:rsidRPr="00CC7006" w:rsidRDefault="00CC7006" w:rsidP="00CC7006">
      <w:r w:rsidRPr="00CC7006">
        <w:t>Предполагается, что соответствующее постановление правительства должно быть принято во втором квартале 2023 года.</w:t>
      </w:r>
    </w:p>
    <w:p w:rsidR="00CC7006" w:rsidRPr="00CC7006" w:rsidRDefault="00CC7006" w:rsidP="00CC7006">
      <w:r w:rsidRPr="00CC7006">
        <w:t>Кроме того, проект плана предусматривает введение льготных тарифов на перевозку железнодорожным транспортом рыбы и рыбной продукции, приобретенной на биржевых торгах. Соответствующее постановление правительства намечено принять в первом квартале 2023 года.</w:t>
      </w:r>
    </w:p>
    <w:p w:rsidR="00CC7006" w:rsidRPr="00CC7006" w:rsidRDefault="00CC7006" w:rsidP="00CC7006">
      <w:r w:rsidRPr="00CC7006">
        <w:t xml:space="preserve">Ответственными за реализацию этих мер, кроме ФАС, названы </w:t>
      </w:r>
      <w:r w:rsidRPr="00CC7006">
        <w:rPr>
          <w:b/>
        </w:rPr>
        <w:t xml:space="preserve">Минсельхоз и </w:t>
      </w:r>
      <w:proofErr w:type="spellStart"/>
      <w:r w:rsidRPr="00CC7006">
        <w:rPr>
          <w:b/>
        </w:rPr>
        <w:t>Росрыболовство</w:t>
      </w:r>
      <w:proofErr w:type="spellEnd"/>
      <w:r w:rsidRPr="00CC7006">
        <w:t>.</w:t>
      </w:r>
      <w:r w:rsidRPr="00CC7006">
        <w:rPr>
          <w:i/>
        </w:rPr>
        <w:t xml:space="preserve"> </w:t>
      </w:r>
      <w:r>
        <w:rPr>
          <w:i/>
        </w:rPr>
        <w:t>Интерфакс</w:t>
      </w:r>
    </w:p>
    <w:p w:rsidR="00CC7006" w:rsidRDefault="00CC7006" w:rsidP="00CC7006">
      <w:pPr>
        <w:rPr>
          <w:rFonts w:cs="Arial"/>
          <w:b/>
          <w:caps/>
          <w:color w:val="000000" w:themeColor="text1"/>
          <w:szCs w:val="18"/>
        </w:rPr>
      </w:pPr>
    </w:p>
    <w:p w:rsidR="009D3C70" w:rsidRPr="00CC7006" w:rsidRDefault="0075290A" w:rsidP="00CC7006">
      <w:pPr>
        <w:rPr>
          <w:rFonts w:cs="Arial"/>
          <w:b/>
          <w:caps/>
          <w:color w:val="000000" w:themeColor="text1"/>
          <w:szCs w:val="18"/>
        </w:rPr>
      </w:pPr>
      <w:hyperlink r:id="rId14" w:history="1">
        <w:r w:rsidR="009D3C70" w:rsidRPr="00CC7006">
          <w:rPr>
            <w:b/>
          </w:rPr>
          <w:t>БУРЯТИЯ ПРЕДЛОЖИЛА УВЕЛИЧИТЬ КОМПЕНСАЦИЮ ЗАТРАТ НА СТРОИТЕЛЬСТВО ОВОЩЕХРАНИЛИЩ ДО 50%</w:t>
        </w:r>
      </w:hyperlink>
    </w:p>
    <w:p w:rsidR="009D3C70" w:rsidRDefault="009D3C70" w:rsidP="009D3C70">
      <w:r>
        <w:t xml:space="preserve">Власти Бурятии во время Дней республики в </w:t>
      </w:r>
      <w:r w:rsidRPr="0006003C">
        <w:t>Совете Федерации</w:t>
      </w:r>
      <w:r>
        <w:t xml:space="preserve"> предложили увеличить объем компенсации затрат на строительство овощехранилищ с 20% до 50%. Об этом сообщил председатель республиканского Народного Хурала (парламента) Владимир Павлов.</w:t>
      </w:r>
    </w:p>
    <w:p w:rsidR="009D3C70" w:rsidRPr="009D3C70" w:rsidRDefault="009D3C70" w:rsidP="009D3C70">
      <w:r>
        <w:t xml:space="preserve">"Мы можем производить большее количество овощей, картофеля, чтобы практически на 100% обеспечить республику, но нам необходима поддержка. Действующим постановлением компенсируется только 20% затрат на строительство овощехранилищ. Мы предложили [увеличить до] 50%", - сообщил Павлов. </w:t>
      </w:r>
      <w:r w:rsidRPr="00F450C6">
        <w:rPr>
          <w:i/>
        </w:rPr>
        <w:t>ТАСС</w:t>
      </w:r>
    </w:p>
    <w:p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:rsidR="00994554" w:rsidRPr="00271323" w:rsidRDefault="00994554" w:rsidP="00994554">
      <w:pPr>
        <w:pStyle w:val="a9"/>
      </w:pPr>
      <w:r>
        <w:t>ценовая ситуация на продовольственном рынке</w:t>
      </w:r>
    </w:p>
    <w:p w:rsidR="00994554" w:rsidRDefault="00994554" w:rsidP="00994554">
      <w:r>
        <w:t>Как отмечает Росстат, гречка с 15 по 21 января выросла в цене на 0,69%, с начала года - на 1,89%. Свинина (кроме бескостного мяса) за отчетный период стала дешевле на 0,03%, а с начала года по 21 января - на 0,43%.</w:t>
      </w:r>
    </w:p>
    <w:p w:rsidR="00994554" w:rsidRDefault="00994554" w:rsidP="00994554">
      <w:r>
        <w:t>По данным статистического ведомства, в целом цены на плодоовощную продукцию за отчетный период увеличились в среднем на 0,9%, а наиболее заметно подорожали белокочанная капуста, морковь и помидоры.</w:t>
      </w:r>
    </w:p>
    <w:p w:rsidR="00994554" w:rsidRDefault="00994554" w:rsidP="00994554">
      <w:r>
        <w:t>Подсолнечное масло подорожало на 0,08%. С начала года по 21 января подсолнечное масло в РФ в среднем стало дороже на 0,2%.</w:t>
      </w:r>
    </w:p>
    <w:p w:rsidR="00994554" w:rsidRPr="000934AD" w:rsidRDefault="00994554" w:rsidP="00994554">
      <w:pPr>
        <w:rPr>
          <w:i/>
        </w:rPr>
      </w:pPr>
      <w:r>
        <w:t xml:space="preserve">Куриные яйца в среднем по России за отчетный период подешевели на 1,32%. </w:t>
      </w:r>
      <w:r w:rsidRPr="00994554">
        <w:rPr>
          <w:i/>
        </w:rPr>
        <w:t>РИА Новости,</w:t>
      </w:r>
      <w:r>
        <w:t xml:space="preserve"> </w:t>
      </w:r>
      <w:r>
        <w:rPr>
          <w:i/>
        </w:rPr>
        <w:t xml:space="preserve">Крестьянские Ведомости </w:t>
      </w:r>
    </w:p>
    <w:p w:rsidR="00994554" w:rsidRPr="00271323" w:rsidRDefault="0075290A" w:rsidP="00994554">
      <w:pPr>
        <w:pStyle w:val="a9"/>
      </w:pPr>
      <w:hyperlink r:id="rId15" w:history="1">
        <w:r w:rsidR="00994554" w:rsidRPr="00271323">
          <w:t>"РУСПРОДСОЮЗ": ПОСТАВЩИКИ ДЕТСКОГО ПИТАНИЯ В РОССИИ ПОДНИМАЮТ ЦЕНЫ, ЧТОБЫ НЕ ОБАНКРОТИТЬСЯ</w:t>
        </w:r>
      </w:hyperlink>
    </w:p>
    <w:p w:rsidR="00994554" w:rsidRDefault="00994554" w:rsidP="00994554">
      <w:r>
        <w:t>Поставщики детского питания в РФ вынуждены повышать цены на свою продукцию, чтобы избежать банкротств, и предпосылок к снижению его стоимости пока нет, заявил РИА Новости зампред правления Ассоциации производителей и поставщиков продовольственных товаров ("</w:t>
      </w:r>
      <w:proofErr w:type="spellStart"/>
      <w:r>
        <w:t>Руспродсоюз</w:t>
      </w:r>
      <w:proofErr w:type="spellEnd"/>
      <w:r>
        <w:t>") Дмитрий Леонов.</w:t>
      </w:r>
    </w:p>
    <w:p w:rsidR="00994554" w:rsidRPr="00994554" w:rsidRDefault="00994554" w:rsidP="00994554">
      <w:r>
        <w:t xml:space="preserve">"На протяжении двух лет поставщики (детского питания - ред.) не меняли цен и пытались сдержать возросшие издержки за счет собственных ресурсов, чтобы потребители не ощутили его на полке. Однако сегодня ресурсы поставщиков по сдерживанию роста цен полностью исчерпаны", - сообщил Леонов. </w:t>
      </w:r>
      <w:r w:rsidRPr="000934AD">
        <w:rPr>
          <w:i/>
        </w:rPr>
        <w:t>ПРАЙМ, MilkNews.ru</w:t>
      </w:r>
    </w:p>
    <w:p w:rsidR="003F5949" w:rsidRPr="00271323" w:rsidRDefault="0075290A" w:rsidP="003F5949">
      <w:pPr>
        <w:pStyle w:val="a9"/>
      </w:pPr>
      <w:hyperlink r:id="rId16" w:history="1">
        <w:r w:rsidR="003F5949" w:rsidRPr="00271323">
          <w:t>ВЫЛОВ МИНТАЯ В ДАЛЬНЕВОСТОЧНОМ БАССЕЙНЕ С НАЧАЛА ГОДА УВЕЛИЧИЛСЯ НА 4%</w:t>
        </w:r>
      </w:hyperlink>
    </w:p>
    <w:p w:rsidR="003F5949" w:rsidRDefault="003F5949" w:rsidP="003F5949">
      <w:r>
        <w:t xml:space="preserve">Вылов минтая в Дальневосточном бассейне с начала 2022 года увеличился на 4% по сравнению с показателями за аналогичный период прошлого года и достиг 141 тыс. тонн. Это следует из сообщения </w:t>
      </w:r>
      <w:proofErr w:type="spellStart"/>
      <w:r>
        <w:t>Росрыболовства</w:t>
      </w:r>
      <w:proofErr w:type="spellEnd"/>
      <w:r>
        <w:t>.</w:t>
      </w:r>
    </w:p>
    <w:p w:rsidR="003F5949" w:rsidRPr="003F5949" w:rsidRDefault="003F5949" w:rsidP="003F5949">
      <w:r>
        <w:t xml:space="preserve">Как сообщали ранее в ведомстве, минтай остается главным промысловым ресурсом России, его доля в национальном улове составляет 35%. В </w:t>
      </w:r>
      <w:proofErr w:type="spellStart"/>
      <w:r w:rsidRPr="00271323">
        <w:rPr>
          <w:b/>
        </w:rPr>
        <w:t>Росрыболовстве</w:t>
      </w:r>
      <w:proofErr w:type="spellEnd"/>
      <w:r>
        <w:t xml:space="preserve"> отметили, что в Охотском море с начала 2022 года было добыто 125,2 тыс. тонн минтая, что на 7% больше прошлогоднего уровня, в </w:t>
      </w:r>
      <w:proofErr w:type="spellStart"/>
      <w:r>
        <w:t>Камчатско</w:t>
      </w:r>
      <w:proofErr w:type="spellEnd"/>
      <w:r>
        <w:t xml:space="preserve">-Курильской и Западно-Камчатской </w:t>
      </w:r>
      <w:proofErr w:type="spellStart"/>
      <w:r>
        <w:t>подзонах</w:t>
      </w:r>
      <w:proofErr w:type="spellEnd"/>
      <w:r>
        <w:t xml:space="preserve"> - 121,5 тыс. тонн, что на 11% выше. "В Северо-</w:t>
      </w:r>
      <w:proofErr w:type="spellStart"/>
      <w:r>
        <w:t>Охотоморской</w:t>
      </w:r>
      <w:proofErr w:type="spellEnd"/>
      <w:r>
        <w:t xml:space="preserve"> </w:t>
      </w:r>
      <w:proofErr w:type="spellStart"/>
      <w:r>
        <w:t>подзоне</w:t>
      </w:r>
      <w:proofErr w:type="spellEnd"/>
      <w:r>
        <w:t xml:space="preserve"> нарастающий вылов минтая составил 2,9 тыс. тонн. В Восточно-Сахалинской </w:t>
      </w:r>
      <w:proofErr w:type="spellStart"/>
      <w:r>
        <w:t>подзоне</w:t>
      </w:r>
      <w:proofErr w:type="spellEnd"/>
      <w:r>
        <w:t xml:space="preserve"> из-за ледовой обстановки промысел приостановлен", - добавили в пресс-службе. </w:t>
      </w:r>
      <w:r w:rsidRPr="00D71E1F">
        <w:rPr>
          <w:i/>
        </w:rPr>
        <w:t>ТАСС</w:t>
      </w:r>
    </w:p>
    <w:p w:rsidR="005C7271" w:rsidRPr="00271323" w:rsidRDefault="005C7271" w:rsidP="005C7271">
      <w:pPr>
        <w:pStyle w:val="a9"/>
      </w:pPr>
      <w:r w:rsidRPr="00271323">
        <w:t>Рыбаков могут обязать перерабатывать на месте больше свежего сырья</w:t>
      </w:r>
    </w:p>
    <w:p w:rsidR="005C7271" w:rsidRDefault="005C7271" w:rsidP="005C7271">
      <w:r>
        <w:t xml:space="preserve">Рыбопромышленников, претендующих на квоты в рамках второго этапа их распределения, могут обязать перерабатывать на прибрежных заводах не менее 70% свежей рыбы. Таким образом власти рассчитывают увеличить </w:t>
      </w:r>
      <w:r>
        <w:lastRenderedPageBreak/>
        <w:t>выпуск продукции с высокой добавленной стоимостью. Но это ожидаемо не порадовало участников рынка, считающих требование технически невыполнимым.</w:t>
      </w:r>
    </w:p>
    <w:p w:rsidR="005C7271" w:rsidRPr="005C7271" w:rsidRDefault="005C7271" w:rsidP="005C7271">
      <w:r>
        <w:t xml:space="preserve">В </w:t>
      </w:r>
      <w:proofErr w:type="spellStart"/>
      <w:r w:rsidRPr="00271323">
        <w:rPr>
          <w:b/>
        </w:rPr>
        <w:t>Росрыболовстве</w:t>
      </w:r>
      <w:proofErr w:type="spellEnd"/>
      <w:r>
        <w:t xml:space="preserve"> подтвердили "Ъ", что проект документов второго этапа распределения </w:t>
      </w:r>
      <w:proofErr w:type="spellStart"/>
      <w:r>
        <w:t>инвестквот</w:t>
      </w:r>
      <w:proofErr w:type="spellEnd"/>
      <w:r>
        <w:t xml:space="preserve"> содержит пункт об обеспечении переработки на прибрежных заводах 70% свежей рыбы. Но этот показатель не является окончательным, вопрос обсуждается с участниками рынка, уточнили в ведомстве. </w:t>
      </w:r>
      <w:r w:rsidRPr="00D71E1F">
        <w:rPr>
          <w:i/>
        </w:rPr>
        <w:t>К</w:t>
      </w:r>
      <w:r>
        <w:rPr>
          <w:i/>
        </w:rPr>
        <w:t>оммерсантъ</w:t>
      </w:r>
    </w:p>
    <w:p w:rsidR="001751E1" w:rsidRPr="006F432C" w:rsidRDefault="0075290A" w:rsidP="001751E1">
      <w:pPr>
        <w:pStyle w:val="a9"/>
      </w:pPr>
      <w:hyperlink r:id="rId17" w:history="1">
        <w:r w:rsidR="001751E1" w:rsidRPr="006F432C">
          <w:t>РОСРЫБОЛОВСТВО: МАРКИРОВКА РЫБНЫХ КОНСЕРВОВ ПОЗВОЛИТ ОБЕЗОПАСИТЬ ПОТРЕБИТЕЛЯ</w:t>
        </w:r>
      </w:hyperlink>
    </w:p>
    <w:p w:rsidR="001751E1" w:rsidRDefault="001751E1" w:rsidP="001751E1">
      <w:r>
        <w:t xml:space="preserve">Маркировка рыбных консервов позволит обезопасить потребителя, поскольку в этой категории много фальсификата. Об этом говорится в сообщении </w:t>
      </w:r>
      <w:proofErr w:type="spellStart"/>
      <w:r w:rsidRPr="006F432C">
        <w:rPr>
          <w:b/>
        </w:rPr>
        <w:t>Росрыболовства</w:t>
      </w:r>
      <w:proofErr w:type="spellEnd"/>
      <w:r>
        <w:t>.</w:t>
      </w:r>
    </w:p>
    <w:p w:rsidR="001751E1" w:rsidRPr="001127D5" w:rsidRDefault="001751E1" w:rsidP="001751E1">
      <w:pPr>
        <w:rPr>
          <w:i/>
        </w:rPr>
      </w:pPr>
      <w:r>
        <w:t xml:space="preserve">"Маркировка продукции в различных отраслях доказала свою эффективность в противодействии обороту нелегальной продукции, поэтому принято решение о ее расширении на рыбные консервы. В этой категории идет основная доля фальсификата, поэтому маркировка и </w:t>
      </w:r>
      <w:proofErr w:type="spellStart"/>
      <w:r>
        <w:t>прослеживаемость</w:t>
      </w:r>
      <w:proofErr w:type="spellEnd"/>
      <w:r>
        <w:t xml:space="preserve"> помогут обезопасить потребителя от опасных для здоровья товаров", - прокомментировал руководитель </w:t>
      </w:r>
      <w:proofErr w:type="spellStart"/>
      <w:r w:rsidRPr="006F432C">
        <w:rPr>
          <w:b/>
        </w:rPr>
        <w:t>Росрыболовства</w:t>
      </w:r>
      <w:proofErr w:type="spellEnd"/>
      <w:r>
        <w:t xml:space="preserve"> </w:t>
      </w:r>
      <w:r w:rsidRPr="006F432C">
        <w:rPr>
          <w:b/>
        </w:rPr>
        <w:t>Илья Шестаков</w:t>
      </w:r>
      <w:r>
        <w:t xml:space="preserve">, слова которого приводятся в сообщении. </w:t>
      </w:r>
      <w:r w:rsidRPr="001127D5">
        <w:rPr>
          <w:i/>
        </w:rPr>
        <w:t>ТАСС</w:t>
      </w:r>
    </w:p>
    <w:p w:rsidR="005A7269" w:rsidRDefault="005A7269" w:rsidP="004E402B">
      <w:pPr>
        <w:rPr>
          <w:rFonts w:cs="Arial"/>
          <w:b/>
          <w:caps/>
          <w:color w:val="000000" w:themeColor="text1"/>
          <w:szCs w:val="18"/>
        </w:rPr>
      </w:pPr>
    </w:p>
    <w:p w:rsidR="004E402B" w:rsidRPr="004E402B" w:rsidRDefault="004E402B" w:rsidP="004E402B">
      <w:pPr>
        <w:rPr>
          <w:rFonts w:cs="Arial"/>
          <w:b/>
          <w:caps/>
          <w:color w:val="000000" w:themeColor="text1"/>
          <w:szCs w:val="18"/>
        </w:rPr>
      </w:pPr>
      <w:r>
        <w:rPr>
          <w:rFonts w:cs="Arial"/>
          <w:b/>
          <w:caps/>
          <w:color w:val="000000" w:themeColor="text1"/>
          <w:szCs w:val="18"/>
        </w:rPr>
        <w:t>Р</w:t>
      </w:r>
      <w:r w:rsidRPr="004E402B">
        <w:rPr>
          <w:rFonts w:cs="Arial"/>
          <w:b/>
          <w:caps/>
          <w:color w:val="000000" w:themeColor="text1"/>
          <w:szCs w:val="18"/>
        </w:rPr>
        <w:t>оссельхознадзор: маркировка консервов позволит эффективно очищать рынок от фальсификата</w:t>
      </w:r>
    </w:p>
    <w:p w:rsidR="004E402B" w:rsidRPr="004E402B" w:rsidRDefault="004E402B" w:rsidP="004E402B">
      <w:r w:rsidRPr="004E402B">
        <w:t xml:space="preserve">Интеграция электронной ветеринарной сертификации "Меркурия" и маркировки при проверке рынка консервов позволит более эффективно очищать рынок от недобросовестных производителей. Об этом говорится в сообщении </w:t>
      </w:r>
      <w:proofErr w:type="spellStart"/>
      <w:r w:rsidRPr="004E402B">
        <w:t>Россельхознадзора</w:t>
      </w:r>
      <w:proofErr w:type="spellEnd"/>
      <w:r w:rsidRPr="004E402B">
        <w:t>.</w:t>
      </w:r>
    </w:p>
    <w:p w:rsidR="004E402B" w:rsidRPr="004E402B" w:rsidRDefault="004E402B" w:rsidP="004E402B">
      <w:pPr>
        <w:rPr>
          <w:i/>
        </w:rPr>
      </w:pPr>
      <w:r w:rsidRPr="004E402B">
        <w:t>"</w:t>
      </w:r>
      <w:proofErr w:type="spellStart"/>
      <w:r w:rsidRPr="004E402B">
        <w:t>Россельхознадзор</w:t>
      </w:r>
      <w:proofErr w:type="spellEnd"/>
      <w:r w:rsidRPr="004E402B">
        <w:t xml:space="preserve"> поддерживает введение маркировки в указанных категориях. Инспекторы ведомства выявляют значительный процент фальсифицированной продукции на рынке консервированных товаров. Так, например, вместо указанной на упаковке сайры, в состав вводится более дешевая сельдь иваси, а икру иностранного производства часто выдают за продукцию российских заводов", - отмечается в сообщении.</w:t>
      </w:r>
      <w:r>
        <w:t xml:space="preserve"> </w:t>
      </w:r>
      <w:r w:rsidRPr="004E402B">
        <w:rPr>
          <w:i/>
        </w:rPr>
        <w:t>ТАСС</w:t>
      </w:r>
    </w:p>
    <w:p w:rsidR="003F5949" w:rsidRPr="00271323" w:rsidRDefault="0075290A" w:rsidP="004E402B">
      <w:pPr>
        <w:pStyle w:val="a9"/>
      </w:pPr>
      <w:hyperlink r:id="rId18" w:history="1">
        <w:r w:rsidR="003F5949" w:rsidRPr="00271323">
          <w:t>В 2022 году экспорт сельхозтехники продолжит расти</w:t>
        </w:r>
      </w:hyperlink>
      <w:r w:rsidR="003F5949" w:rsidRPr="00271323">
        <w:t xml:space="preserve"> </w:t>
      </w:r>
    </w:p>
    <w:p w:rsidR="003F5949" w:rsidRPr="003F5949" w:rsidRDefault="003F5949" w:rsidP="003F5949">
      <w:r>
        <w:t>Экспорт российской сельхозтехники продолжит расти двузначными темпами в процентах и в 2022 году, считают опрошенные "Ъ" аналитики. В 2021 году экспорт составил 21 млрд руб., превысив даже оптимистичные прогнозы правительства. Но после пятого года роста подряд отгрузки за рубеж могут замедлиться, предупреждают эксперты: на основных рынках - СНГ и Монголии - обновление парков уже близко к завершению. В "</w:t>
      </w:r>
      <w:proofErr w:type="spellStart"/>
      <w:r>
        <w:t>Росспецмаше</w:t>
      </w:r>
      <w:proofErr w:type="spellEnd"/>
      <w:r>
        <w:t xml:space="preserve">" не согласны с этим тезисом, считая, что спрос будет зависеть от наличия у аграриев свободных финансовых ресурсов. </w:t>
      </w:r>
      <w:r w:rsidRPr="00F450C6">
        <w:rPr>
          <w:i/>
        </w:rPr>
        <w:t xml:space="preserve">Коммерсантъ </w:t>
      </w:r>
    </w:p>
    <w:p w:rsidR="0004390F" w:rsidRPr="00271323" w:rsidRDefault="0075290A" w:rsidP="0004390F">
      <w:pPr>
        <w:pStyle w:val="a9"/>
      </w:pPr>
      <w:hyperlink r:id="rId19" w:history="1">
        <w:r w:rsidR="0004390F" w:rsidRPr="00271323">
          <w:t>ГОДОВОЙ ПЛАН ПО ЭКСПОРТУ ПРОДУКЦИИ АПК В КАБАРДИНО-БАЛКАРИИ ВЫПОЛНЕН НА 108%</w:t>
        </w:r>
      </w:hyperlink>
    </w:p>
    <w:p w:rsidR="0004390F" w:rsidRDefault="0004390F" w:rsidP="0004390F">
      <w:r>
        <w:t>План по экспорту продукции АПК за 2021 год выполнен в Кабардино-Балкарии (КБР) на 108%, сообщили журналистам в пресс-службе регионального Минсельхоза.</w:t>
      </w:r>
    </w:p>
    <w:p w:rsidR="0004390F" w:rsidRDefault="0004390F" w:rsidP="0004390F">
      <w:r>
        <w:t>"По предварительным данным, за 2021 год из Кабардино-Балкарии экспортировано продукции агропромышленног</w:t>
      </w:r>
      <w:r w:rsidR="003F5949">
        <w:t>о комплекса на сумму $16,2 млн</w:t>
      </w:r>
      <w:r>
        <w:t>", - говорится в сообщении.</w:t>
      </w:r>
    </w:p>
    <w:p w:rsidR="0004390F" w:rsidRPr="000934AD" w:rsidRDefault="0004390F" w:rsidP="0004390F">
      <w:pPr>
        <w:rPr>
          <w:i/>
        </w:rPr>
      </w:pPr>
      <w:r>
        <w:t xml:space="preserve">Основу экспорта продукции АПК Кабардино-Балкарии составляют зерно, кондитерские изделия, алкогольные и безалкогольные напитки, крахмал. География поставок - Грузия, Узбекистан, Турция, Азербайджан, Армения, Киргизия, ОАЭ, Казахстан, Туркмения и другие. </w:t>
      </w:r>
      <w:r w:rsidR="003F5949">
        <w:rPr>
          <w:i/>
        </w:rPr>
        <w:t>ТАСС, Крестьянские Ведомости</w:t>
      </w:r>
    </w:p>
    <w:p w:rsidR="0004390F" w:rsidRPr="00271323" w:rsidRDefault="0075290A" w:rsidP="0004390F">
      <w:pPr>
        <w:pStyle w:val="a9"/>
      </w:pPr>
      <w:hyperlink r:id="rId20" w:history="1">
        <w:r w:rsidR="0004390F" w:rsidRPr="00271323">
          <w:t>RBPI ПЛАНИРУЕТ ВВЕСТИ ДВА СВИНОКОМПЛЕКСА В НИЖЕГОРОДСКОЙ ОБЛАСТИ В 2022Г</w:t>
        </w:r>
      </w:hyperlink>
    </w:p>
    <w:p w:rsidR="0004390F" w:rsidRDefault="0004390F" w:rsidP="0004390F">
      <w:r>
        <w:t xml:space="preserve">Russia </w:t>
      </w:r>
      <w:proofErr w:type="spellStart"/>
      <w:r>
        <w:t>Baltic</w:t>
      </w:r>
      <w:proofErr w:type="spellEnd"/>
      <w:r>
        <w:t xml:space="preserve"> </w:t>
      </w:r>
      <w:proofErr w:type="spellStart"/>
      <w:r>
        <w:t>Pork</w:t>
      </w:r>
      <w:proofErr w:type="spellEnd"/>
      <w:r>
        <w:t xml:space="preserve"> </w:t>
      </w:r>
      <w:proofErr w:type="spellStart"/>
      <w:r>
        <w:t>Invest</w:t>
      </w:r>
      <w:proofErr w:type="spellEnd"/>
      <w:r>
        <w:t xml:space="preserve"> AS (RBPI) планирует в 2022 году ввести в эксплуатацию </w:t>
      </w:r>
      <w:proofErr w:type="spellStart"/>
      <w:r>
        <w:t>свинокомплексы</w:t>
      </w:r>
      <w:proofErr w:type="spellEnd"/>
      <w:r>
        <w:t xml:space="preserve"> в </w:t>
      </w:r>
      <w:proofErr w:type="spellStart"/>
      <w:r>
        <w:t>Ардатовском</w:t>
      </w:r>
      <w:proofErr w:type="spellEnd"/>
      <w:r>
        <w:t xml:space="preserve"> и </w:t>
      </w:r>
      <w:proofErr w:type="spellStart"/>
      <w:r>
        <w:t>Сергачском</w:t>
      </w:r>
      <w:proofErr w:type="spellEnd"/>
      <w:r>
        <w:t xml:space="preserve"> районах Нижегородской области, сообщили "Интерфаксу" в Корпорации развития региона.</w:t>
      </w:r>
    </w:p>
    <w:p w:rsidR="0004390F" w:rsidRPr="003F5949" w:rsidRDefault="0004390F" w:rsidP="0004390F">
      <w:r>
        <w:t>Суммарные инвестиции в оба проекта составляют почти 10 млрд рублей.</w:t>
      </w:r>
      <w:r w:rsidR="003F5949">
        <w:t xml:space="preserve"> </w:t>
      </w:r>
      <w:r w:rsidRPr="000934AD">
        <w:rPr>
          <w:i/>
        </w:rPr>
        <w:t>Интерфакс</w:t>
      </w:r>
    </w:p>
    <w:p w:rsidR="0004390F" w:rsidRPr="006F432C" w:rsidRDefault="0075290A" w:rsidP="0004390F">
      <w:pPr>
        <w:pStyle w:val="a9"/>
      </w:pPr>
      <w:hyperlink r:id="rId21" w:history="1">
        <w:r w:rsidR="0004390F" w:rsidRPr="006F432C">
          <w:t>ДЛЯ МОЛОЧНЫХ ЗАВОДОВ В ЧУВАШИИ ВВЕДУТ НОВУЮ ФОРМУ ПОДДЕРЖКИ</w:t>
        </w:r>
      </w:hyperlink>
    </w:p>
    <w:p w:rsidR="0004390F" w:rsidRPr="003A6B0C" w:rsidRDefault="0004390F" w:rsidP="0004390F">
      <w:pPr>
        <w:rPr>
          <w:i/>
        </w:rPr>
      </w:pPr>
      <w:r>
        <w:t xml:space="preserve">В Чувашии для производителей и переработчиков молока планируется ввести новую форму бюджетной поддержки. Власти рассчитывают, что это позволит увеличить объем перерабатываемого молока в республике. </w:t>
      </w:r>
      <w:r w:rsidR="003F5949">
        <w:t xml:space="preserve">Предприятиям молочной отрасли </w:t>
      </w:r>
      <w:r>
        <w:t xml:space="preserve">будут компенсировать за счет средств региональной казны часть затрат для прироста объема перерабатываемого молока. На эти цели предусмотрено более 13 млн рублей. </w:t>
      </w:r>
      <w:r w:rsidRPr="003A6B0C">
        <w:rPr>
          <w:i/>
        </w:rPr>
        <w:t xml:space="preserve">ИА </w:t>
      </w:r>
      <w:proofErr w:type="spellStart"/>
      <w:r w:rsidRPr="003A6B0C">
        <w:rPr>
          <w:i/>
        </w:rPr>
        <w:t>Regnum</w:t>
      </w:r>
      <w:proofErr w:type="spellEnd"/>
    </w:p>
    <w:p w:rsidR="00271323" w:rsidRPr="00271323" w:rsidRDefault="0075290A" w:rsidP="00271323">
      <w:pPr>
        <w:pStyle w:val="a9"/>
      </w:pPr>
      <w:hyperlink r:id="rId22" w:history="1">
        <w:r w:rsidR="00271323" w:rsidRPr="00271323">
          <w:t>ТЮМЕНСКИЕ УЧЕНЫЕ ПРЕДЛОЖИЛИ ПРЕВРАЩАТЬ КУРИНЫЙ ПОМЕТ В БИОТОПЛИВО</w:t>
        </w:r>
      </w:hyperlink>
    </w:p>
    <w:p w:rsidR="00271323" w:rsidRDefault="00271323" w:rsidP="00271323">
      <w:r>
        <w:t>Группа ученых из Тюменского государственного университета (</w:t>
      </w:r>
      <w:proofErr w:type="spellStart"/>
      <w:r>
        <w:t>ТюмГУ</w:t>
      </w:r>
      <w:proofErr w:type="spellEnd"/>
      <w:r>
        <w:t xml:space="preserve">) разработала инновационный способ превращения куриного помета в </w:t>
      </w:r>
      <w:proofErr w:type="spellStart"/>
      <w:r>
        <w:t>биотопливо</w:t>
      </w:r>
      <w:proofErr w:type="spellEnd"/>
      <w:r>
        <w:t xml:space="preserve"> - из продукта можно получать газ и </w:t>
      </w:r>
      <w:proofErr w:type="spellStart"/>
      <w:r>
        <w:t>биоуголь</w:t>
      </w:r>
      <w:proofErr w:type="spellEnd"/>
      <w:r>
        <w:t>.</w:t>
      </w:r>
    </w:p>
    <w:p w:rsidR="00271323" w:rsidRPr="00ED4C9F" w:rsidRDefault="00271323" w:rsidP="00271323">
      <w:r>
        <w:t>Данный способ предлагают к использованию на тюменских птицефабриках - в настоящее время осуществляются переговоры с потенциальными инвесторами, чтобы воплотить данный проект в жизнь в ближайшем будущем.</w:t>
      </w:r>
      <w:r w:rsidR="00ED4C9F">
        <w:t xml:space="preserve"> </w:t>
      </w:r>
      <w:r w:rsidR="00ED4C9F">
        <w:rPr>
          <w:i/>
        </w:rPr>
        <w:t xml:space="preserve">РБК </w:t>
      </w:r>
    </w:p>
    <w:p w:rsidR="00C8396B" w:rsidRDefault="00F62502">
      <w:pPr>
        <w:pStyle w:val="a8"/>
        <w:spacing w:before="240"/>
        <w:outlineLvl w:val="0"/>
      </w:pPr>
      <w:bookmarkStart w:id="10" w:name="SEC_6"/>
      <w:bookmarkEnd w:id="9"/>
      <w:r>
        <w:t>Новости экономики и власти</w:t>
      </w:r>
    </w:p>
    <w:p w:rsidR="008458FA" w:rsidRPr="006F432C" w:rsidRDefault="0075290A" w:rsidP="008458FA">
      <w:pPr>
        <w:pStyle w:val="a9"/>
      </w:pPr>
      <w:hyperlink r:id="rId23" w:history="1">
        <w:r w:rsidR="008458FA" w:rsidRPr="006F432C">
          <w:t>ПУТИН ЗАЯВИЛ, ЧТО БЕЗРАБОТИЦА В РОССИИ ДЕРЖИТСЯ НА МИНИМАЛЬНОМ УРОВНЕ В 4,3%</w:t>
        </w:r>
      </w:hyperlink>
    </w:p>
    <w:p w:rsidR="008458FA" w:rsidRDefault="008458FA" w:rsidP="008458FA">
      <w:r>
        <w:t>Безработица в России держится на минимальном уровне в 4,3%, сообщил российский лидер Владимир Путин.</w:t>
      </w:r>
    </w:p>
    <w:p w:rsidR="008458FA" w:rsidRDefault="008458FA" w:rsidP="008458FA">
      <w:r>
        <w:lastRenderedPageBreak/>
        <w:t>"Безработица у нас держится на исторических минимумах - 4,3%", - сказал Путин на встрече с главами ведущих итальянских компаний в режиме видеосвязи.</w:t>
      </w:r>
    </w:p>
    <w:p w:rsidR="008458FA" w:rsidRPr="00DD6ACC" w:rsidRDefault="008458FA" w:rsidP="008458FA">
      <w:pPr>
        <w:rPr>
          <w:i/>
        </w:rPr>
      </w:pPr>
      <w:r>
        <w:t xml:space="preserve">В конце декабря в секретариате российского вице-премьера Татьяны Голиковой сообщили, что число официально зарегистрированных безработных в России снизилось более чем на 2 млн с начала 2021 года. </w:t>
      </w:r>
      <w:r w:rsidRPr="00DD6ACC">
        <w:rPr>
          <w:i/>
        </w:rPr>
        <w:t xml:space="preserve">RT </w:t>
      </w:r>
    </w:p>
    <w:p w:rsidR="009D3C70" w:rsidRPr="006F432C" w:rsidRDefault="0075290A" w:rsidP="009D3C70">
      <w:pPr>
        <w:pStyle w:val="a9"/>
      </w:pPr>
      <w:hyperlink r:id="rId24" w:history="1">
        <w:r w:rsidR="009D3C70" w:rsidRPr="006F432C">
          <w:t>ПУТИН ПОЖАЛОВАЛСЯ БИЗНЕСУ ИТАЛИИ НА НЕПРИЗНАНИЕ "СПУТНИКА V" В ЕВРОСОЮЗЕ</w:t>
        </w:r>
      </w:hyperlink>
    </w:p>
    <w:p w:rsidR="009D3C70" w:rsidRPr="00994554" w:rsidRDefault="009D3C70" w:rsidP="009D3C70">
      <w:r>
        <w:t xml:space="preserve">Затягивание процесса взаимного признания вакцин против </w:t>
      </w:r>
      <w:proofErr w:type="spellStart"/>
      <w:r>
        <w:t>коронавируса</w:t>
      </w:r>
      <w:proofErr w:type="spellEnd"/>
      <w:r>
        <w:t xml:space="preserve"> между Россией и ЕС не способствует развитию российско-итальянских бизнес-контактов, заявил президент Владимир Путин на видеоконференции с топ-менеджерами крупнейших итальянских компаний. Он объяснил, что это тормозит возобновление деловых контактов и поездок. </w:t>
      </w:r>
      <w:r w:rsidRPr="003A6B0C">
        <w:rPr>
          <w:i/>
        </w:rPr>
        <w:t>Интерфакс</w:t>
      </w:r>
    </w:p>
    <w:p w:rsidR="008458FA" w:rsidRPr="00271323" w:rsidRDefault="0075290A" w:rsidP="008458FA">
      <w:pPr>
        <w:pStyle w:val="a9"/>
      </w:pPr>
      <w:hyperlink r:id="rId25" w:history="1">
        <w:r w:rsidR="008458FA" w:rsidRPr="00271323">
          <w:t>"СТРЕМИМСЯ СОКРАЩАТЬ ЗАВИСИМОСТЬ": ЛАВРОВ ЗАЯВИЛ О РЕЗКОМ СНИЖЕНИИ ДОЛИ ДОЛЛАРА В РОССИЙСКИХ РЕЗЕРВАХ</w:t>
        </w:r>
      </w:hyperlink>
    </w:p>
    <w:p w:rsidR="008458FA" w:rsidRPr="008458FA" w:rsidRDefault="008458FA" w:rsidP="008458FA">
      <w:r>
        <w:t xml:space="preserve">Россия стремится сокращать зависимость от доллара и резко снижает его долю в своих резервах. Об этом заявил глава МИД Сергей Лавров. По его словам, Вашингтон своими действиями сам подрывает доверие к американской валюте. Зачастую Белый дом пытается использовать доллар в качестве рычага политического давления, отмечают эксперты. На этом фоне Россия за последние годы заметно уменьшила вложения в госдолг США, а также исключила </w:t>
      </w:r>
      <w:proofErr w:type="spellStart"/>
      <w:r>
        <w:t>нацвалюту</w:t>
      </w:r>
      <w:proofErr w:type="spellEnd"/>
      <w:r>
        <w:t xml:space="preserve"> Штатов из структуры Фонда национального благосостояния. Как подчеркивают специалисты, действия Москвы соответствуют общемировому тренду на </w:t>
      </w:r>
      <w:proofErr w:type="spellStart"/>
      <w:r>
        <w:t>дедолларизацию</w:t>
      </w:r>
      <w:proofErr w:type="spellEnd"/>
      <w:r>
        <w:t xml:space="preserve">. </w:t>
      </w:r>
      <w:r w:rsidRPr="006D4E38">
        <w:rPr>
          <w:i/>
        </w:rPr>
        <w:t xml:space="preserve">RT </w:t>
      </w:r>
    </w:p>
    <w:p w:rsidR="003F5949" w:rsidRPr="00271323" w:rsidRDefault="003F5949" w:rsidP="003F5949">
      <w:pPr>
        <w:pStyle w:val="a9"/>
      </w:pPr>
      <w:r w:rsidRPr="00271323">
        <w:t>ДУМА МОЖЕТ РАСШИРИТЬ ЛЬГОТНУЮ ИПОТЕКУ НА ВТОРИЧНОЕ ЖИЛЬЕ В НЕСКОЛЬКИХ ГОРОДАХ</w:t>
      </w:r>
    </w:p>
    <w:p w:rsidR="003F5949" w:rsidRPr="003F5949" w:rsidRDefault="003F5949" w:rsidP="003F5949">
      <w:pPr>
        <w:rPr>
          <w:i/>
        </w:rPr>
      </w:pPr>
      <w:r>
        <w:t xml:space="preserve">Член комитета Госдумы по строительству и ЖКХ, руководитель рабочей группы президиума генсовета "Единой России" по защите прав дольщиков Александр Якубовский предлагает расширить льготную ипотеку на вторичное жилье. Инициатива может быть распространена на те города и поселки, где нет новостроек, пишет в четверг газета "Известия" со ссылкой на копию письма, направленного в адрес премьер-министра России </w:t>
      </w:r>
      <w:r w:rsidRPr="0006003C">
        <w:t xml:space="preserve">Михаила </w:t>
      </w:r>
      <w:proofErr w:type="spellStart"/>
      <w:r w:rsidRPr="0006003C">
        <w:t>Мишустина</w:t>
      </w:r>
      <w:proofErr w:type="spellEnd"/>
      <w:r>
        <w:t xml:space="preserve">. </w:t>
      </w:r>
      <w:r w:rsidRPr="003F5949">
        <w:rPr>
          <w:i/>
        </w:rPr>
        <w:t>Известия</w:t>
      </w:r>
    </w:p>
    <w:p w:rsidR="00271323" w:rsidRPr="00271323" w:rsidRDefault="00271323" w:rsidP="00ED4C9F">
      <w:pPr>
        <w:pStyle w:val="a9"/>
      </w:pPr>
      <w:r w:rsidRPr="00271323">
        <w:t>СТРАХОВЩИКИ ОТЫГРАЛИ ПАНДЕМИЮ</w:t>
      </w:r>
    </w:p>
    <w:p w:rsidR="00C8396B" w:rsidRDefault="00271323" w:rsidP="007C0B63">
      <w:r>
        <w:t>Рынок страхования в 2022 году может превысить 2 трлн руб., полагают аналитики НКР. Однако темпы роста составят около 10%, что существенно ниже прошлогодних, когда шло восстановление после первого года пандемии. Наибольшие темпы должны показать сегменты добровольного медицинского страхования и страхование от несчастных случаев. Сдерживающее влияние на рынок окажут динамика розничного кредитования, а также ужесточение регуляторных требований. Высокими остаются и геополитические риски, которые будут сказываться в сегменте перестрахования.</w:t>
      </w:r>
      <w:r w:rsidR="008458FA">
        <w:t xml:space="preserve"> </w:t>
      </w:r>
      <w:r w:rsidRPr="006D4E38">
        <w:rPr>
          <w:i/>
        </w:rPr>
        <w:t>Коммерсантъ</w:t>
      </w:r>
      <w:bookmarkStart w:id="11" w:name="_GoBack"/>
      <w:bookmarkEnd w:id="10"/>
      <w:bookmarkEnd w:id="11"/>
    </w:p>
    <w:sectPr w:rsidR="00C8396B" w:rsidSect="005F3758">
      <w:headerReference w:type="default" r:id="rId26"/>
      <w:footerReference w:type="default" r:id="rId27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90A" w:rsidRDefault="0075290A">
      <w:r>
        <w:separator/>
      </w:r>
    </w:p>
  </w:endnote>
  <w:endnote w:type="continuationSeparator" w:id="0">
    <w:p w:rsidR="0075290A" w:rsidRDefault="0075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DE0C03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DE0C03">
            <w:rPr>
              <w:rFonts w:cs="Arial"/>
              <w:color w:val="90989E"/>
              <w:sz w:val="16"/>
              <w:szCs w:val="16"/>
            </w:rPr>
            <w:t>27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>января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 w:rsidR="00DE0C03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7C0B63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DE0C03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>2</w:t>
          </w:r>
          <w:r w:rsidR="00DE0C03" w:rsidRPr="00DE0C03">
            <w:rPr>
              <w:rFonts w:cs="Arial"/>
              <w:color w:val="90989E"/>
              <w:sz w:val="16"/>
              <w:szCs w:val="16"/>
            </w:rPr>
            <w:t>7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января 2022 </w:t>
          </w:r>
          <w:r w:rsidR="00DE0C03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7C0B63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90A" w:rsidRDefault="0075290A">
      <w:r>
        <w:separator/>
      </w:r>
    </w:p>
  </w:footnote>
  <w:footnote w:type="continuationSeparator" w:id="0">
    <w:p w:rsidR="0075290A" w:rsidRDefault="00752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33A375AB" wp14:editId="20E5DFC3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71323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3C6A9E9E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71323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09A6570D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23"/>
    <w:rsid w:val="0003491F"/>
    <w:rsid w:val="0004390F"/>
    <w:rsid w:val="00066C93"/>
    <w:rsid w:val="001751E1"/>
    <w:rsid w:val="00183723"/>
    <w:rsid w:val="00195925"/>
    <w:rsid w:val="001B0BCC"/>
    <w:rsid w:val="00224FD4"/>
    <w:rsid w:val="00270257"/>
    <w:rsid w:val="00271323"/>
    <w:rsid w:val="002E5101"/>
    <w:rsid w:val="003058E2"/>
    <w:rsid w:val="00352A5D"/>
    <w:rsid w:val="003648C3"/>
    <w:rsid w:val="003C3C67"/>
    <w:rsid w:val="003F5949"/>
    <w:rsid w:val="00414286"/>
    <w:rsid w:val="004304C8"/>
    <w:rsid w:val="0048153B"/>
    <w:rsid w:val="004D37A6"/>
    <w:rsid w:val="004E402B"/>
    <w:rsid w:val="005233A0"/>
    <w:rsid w:val="005240C2"/>
    <w:rsid w:val="005A7269"/>
    <w:rsid w:val="005C7271"/>
    <w:rsid w:val="005F3758"/>
    <w:rsid w:val="00602ED5"/>
    <w:rsid w:val="00604F1E"/>
    <w:rsid w:val="00613CA7"/>
    <w:rsid w:val="00623E19"/>
    <w:rsid w:val="006530CA"/>
    <w:rsid w:val="00671BC2"/>
    <w:rsid w:val="0068344D"/>
    <w:rsid w:val="006A48CB"/>
    <w:rsid w:val="006E64AC"/>
    <w:rsid w:val="00735380"/>
    <w:rsid w:val="0074571A"/>
    <w:rsid w:val="00750476"/>
    <w:rsid w:val="0075290A"/>
    <w:rsid w:val="007910D0"/>
    <w:rsid w:val="007C0B63"/>
    <w:rsid w:val="007F0AB1"/>
    <w:rsid w:val="008458FA"/>
    <w:rsid w:val="00880679"/>
    <w:rsid w:val="008F4B22"/>
    <w:rsid w:val="00975E0E"/>
    <w:rsid w:val="00985DA8"/>
    <w:rsid w:val="00994554"/>
    <w:rsid w:val="009B4B1F"/>
    <w:rsid w:val="009B4FAE"/>
    <w:rsid w:val="009D3C70"/>
    <w:rsid w:val="009F5BD0"/>
    <w:rsid w:val="00A06520"/>
    <w:rsid w:val="00A12D82"/>
    <w:rsid w:val="00B922A1"/>
    <w:rsid w:val="00B96BD4"/>
    <w:rsid w:val="00BC4068"/>
    <w:rsid w:val="00BE0248"/>
    <w:rsid w:val="00BF48EC"/>
    <w:rsid w:val="00C14B74"/>
    <w:rsid w:val="00C14EA4"/>
    <w:rsid w:val="00C27A3E"/>
    <w:rsid w:val="00C75EE3"/>
    <w:rsid w:val="00C8396B"/>
    <w:rsid w:val="00C87324"/>
    <w:rsid w:val="00C90FBF"/>
    <w:rsid w:val="00C94E1D"/>
    <w:rsid w:val="00C9507B"/>
    <w:rsid w:val="00CC7006"/>
    <w:rsid w:val="00CD2DDE"/>
    <w:rsid w:val="00CD5A45"/>
    <w:rsid w:val="00D52CCC"/>
    <w:rsid w:val="00DE0C03"/>
    <w:rsid w:val="00E12208"/>
    <w:rsid w:val="00E209B2"/>
    <w:rsid w:val="00E4368A"/>
    <w:rsid w:val="00EA7B65"/>
    <w:rsid w:val="00ED4C9F"/>
    <w:rsid w:val="00EF18DD"/>
    <w:rsid w:val="00F41E23"/>
    <w:rsid w:val="00F47E3F"/>
    <w:rsid w:val="00F62502"/>
    <w:rsid w:val="00F65057"/>
    <w:rsid w:val="00F975F3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E7F55B-218F-414C-89BB-E181A6E5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7C0B63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0B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12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780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0116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3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062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44540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838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65634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ass.ru/ekonomika/13531559" TargetMode="External"/><Relationship Id="rId18" Type="http://schemas.openxmlformats.org/officeDocument/2006/relationships/hyperlink" Target="https://www.kommersant.ru/doc/5182817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regnum.ru/news/3487681.html" TargetMode="External"/><Relationship Id="rId7" Type="http://schemas.openxmlformats.org/officeDocument/2006/relationships/hyperlink" Target="https://kvedomosti.ru/?p=1108616" TargetMode="External"/><Relationship Id="rId12" Type="http://schemas.openxmlformats.org/officeDocument/2006/relationships/hyperlink" Target="https://tass.ru/ekonomika/13533031" TargetMode="External"/><Relationship Id="rId17" Type="http://schemas.openxmlformats.org/officeDocument/2006/relationships/hyperlink" Target="https://tass.ru/ekonomika/13527871" TargetMode="External"/><Relationship Id="rId25" Type="http://schemas.openxmlformats.org/officeDocument/2006/relationships/hyperlink" Target="https://russian.rt.com/business/article/953607-lavrov-dollar-rezervy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ss.ru/ekonomika/13532467" TargetMode="External"/><Relationship Id="rId20" Type="http://schemas.openxmlformats.org/officeDocument/2006/relationships/hyperlink" Target="https://www.interfax-russia.ru/volga/news/rbpi-planiruet-vvesti-dva-svinokompleksa-v-nizhegorodskoy-oblasti-v-2022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ia.ru/20220126/kooperatsiya-1769623428.html" TargetMode="External"/><Relationship Id="rId24" Type="http://schemas.openxmlformats.org/officeDocument/2006/relationships/hyperlink" Target="https://www.interfax.ru/russia/8184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prime.ru/consumer_markets/20220126/835893369.html" TargetMode="External"/><Relationship Id="rId23" Type="http://schemas.openxmlformats.org/officeDocument/2006/relationships/hyperlink" Target="https://russian.rt.com/russia/news/953640-putin-bezrabotica-rossiy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ass.ru/ekonomika/13526461" TargetMode="External"/><Relationship Id="rId19" Type="http://schemas.openxmlformats.org/officeDocument/2006/relationships/hyperlink" Target="https://tass.ru/ekonomika/1353429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tass.ru/ekonomika/13532349" TargetMode="External"/><Relationship Id="rId22" Type="http://schemas.openxmlformats.org/officeDocument/2006/relationships/hyperlink" Target="https://trends.rbc.ru/trends/green/61f140549a79470a4850bc5b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52</TotalTime>
  <Pages>6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22</cp:revision>
  <cp:lastPrinted>2022-01-27T06:19:00Z</cp:lastPrinted>
  <dcterms:created xsi:type="dcterms:W3CDTF">2022-01-27T05:12:00Z</dcterms:created>
  <dcterms:modified xsi:type="dcterms:W3CDTF">2022-01-27T06:20:00Z</dcterms:modified>
</cp:coreProperties>
</file>