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84" w:rsidRDefault="00A54584" w:rsidP="00A54584">
      <w:pPr>
        <w:pStyle w:val="a3"/>
        <w:ind w:left="720" w:firstLine="696"/>
        <w:jc w:val="both"/>
      </w:pPr>
      <w:r>
        <w:t>Департамент Смоленской области по сельскому хозяйству и продовольствию сообщает о начале приема документов для предоставления в 202</w:t>
      </w:r>
      <w:r w:rsidR="00C73258">
        <w:t>1</w:t>
      </w:r>
      <w:r>
        <w:t xml:space="preserve"> году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 (далее – субсидия)</w:t>
      </w:r>
      <w:r w:rsidR="003A7B22">
        <w:t xml:space="preserve"> с </w:t>
      </w:r>
      <w:r w:rsidR="00C73258">
        <w:t>1</w:t>
      </w:r>
      <w:r w:rsidR="00A04B14">
        <w:t>8</w:t>
      </w:r>
      <w:r w:rsidR="00411796">
        <w:t xml:space="preserve"> </w:t>
      </w:r>
      <w:r w:rsidR="00C73258">
        <w:t xml:space="preserve">января </w:t>
      </w:r>
      <w:r w:rsidR="00411796">
        <w:t>202</w:t>
      </w:r>
      <w:r w:rsidR="00C73258">
        <w:t>1</w:t>
      </w:r>
      <w:r w:rsidR="00411796">
        <w:t xml:space="preserve"> года</w:t>
      </w:r>
      <w:r>
        <w:t>.</w:t>
      </w:r>
    </w:p>
    <w:p w:rsidR="00A54584" w:rsidRDefault="00A54584" w:rsidP="00A54584">
      <w:pPr>
        <w:pStyle w:val="a3"/>
        <w:ind w:left="720"/>
        <w:jc w:val="both"/>
      </w:pPr>
      <w:r>
        <w:rPr>
          <w:rStyle w:val="a4"/>
        </w:rPr>
        <w:t>Уполномоченный орган</w:t>
      </w:r>
      <w:r>
        <w:t>: Департамент Смоленской области по сельскому хозяйству и продовольствию (далее – Департамент).</w:t>
      </w:r>
    </w:p>
    <w:p w:rsidR="00A54584" w:rsidRDefault="00A54584" w:rsidP="00A54584">
      <w:pPr>
        <w:pStyle w:val="a3"/>
        <w:ind w:left="720"/>
        <w:jc w:val="both"/>
      </w:pPr>
      <w:r>
        <w:rPr>
          <w:rStyle w:val="a4"/>
        </w:rPr>
        <w:t>Почтовый адрес</w:t>
      </w:r>
      <w:r>
        <w:t>: 214008, г. Смоленск, пл. Ленина, д. 1</w:t>
      </w:r>
    </w:p>
    <w:p w:rsidR="00A54584" w:rsidRDefault="00A54584" w:rsidP="00A54584">
      <w:pPr>
        <w:pStyle w:val="a3"/>
        <w:ind w:left="720"/>
        <w:jc w:val="both"/>
      </w:pPr>
      <w:r>
        <w:rPr>
          <w:rStyle w:val="a4"/>
        </w:rPr>
        <w:t>Тел.:</w:t>
      </w:r>
      <w:r>
        <w:t> (4812) 29-22-41</w:t>
      </w:r>
    </w:p>
    <w:p w:rsidR="00A54584" w:rsidRDefault="00A54584" w:rsidP="00A54584">
      <w:pPr>
        <w:pStyle w:val="a3"/>
        <w:ind w:left="720"/>
        <w:jc w:val="both"/>
      </w:pPr>
      <w:r>
        <w:rPr>
          <w:rStyle w:val="a4"/>
        </w:rPr>
        <w:t>Место подачи документов для получения субсидии</w:t>
      </w:r>
      <w:r>
        <w:t>:</w:t>
      </w:r>
    </w:p>
    <w:p w:rsidR="00A54584" w:rsidRDefault="00C73258" w:rsidP="00A54584">
      <w:pPr>
        <w:pStyle w:val="a3"/>
        <w:ind w:left="720"/>
        <w:jc w:val="both"/>
      </w:pPr>
      <w:r>
        <w:t>сектор</w:t>
      </w:r>
      <w:r w:rsidR="00A54584">
        <w:t xml:space="preserve"> малых форм хозяйствования </w:t>
      </w:r>
      <w:r>
        <w:t xml:space="preserve">и кооперации отдела животноводства и племенной работы </w:t>
      </w:r>
      <w:r w:rsidR="00A54584">
        <w:t>Департамента Смоленской области по сельскому хозяйству и продовольст</w:t>
      </w:r>
      <w:r w:rsidR="00A70097">
        <w:t xml:space="preserve">вию </w:t>
      </w:r>
      <w:r w:rsidR="00E95C17">
        <w:t xml:space="preserve">         </w:t>
      </w:r>
      <w:r w:rsidR="00A70097">
        <w:t xml:space="preserve">(пл. Ленина, д. 1, каб. 264, </w:t>
      </w:r>
      <w:r w:rsidR="00A54584">
        <w:t>2 этаж)</w:t>
      </w:r>
    </w:p>
    <w:p w:rsidR="00A54584" w:rsidRDefault="00A54584" w:rsidP="00A54584">
      <w:pPr>
        <w:pStyle w:val="a3"/>
        <w:ind w:left="720"/>
        <w:jc w:val="both"/>
      </w:pPr>
      <w:r>
        <w:rPr>
          <w:rStyle w:val="a4"/>
        </w:rPr>
        <w:t>тел.:</w:t>
      </w:r>
      <w:r>
        <w:t> (4812) 29-10-69, 29-18-93</w:t>
      </w:r>
    </w:p>
    <w:p w:rsidR="00A54584" w:rsidRDefault="00A54584" w:rsidP="00A54584">
      <w:pPr>
        <w:pStyle w:val="a3"/>
        <w:ind w:left="720"/>
        <w:jc w:val="both"/>
      </w:pPr>
      <w:r>
        <w:rPr>
          <w:rStyle w:val="a4"/>
        </w:rPr>
        <w:t>http</w:t>
      </w:r>
      <w:r>
        <w:t>://selhoz.admin-smolensk.ru</w:t>
      </w:r>
    </w:p>
    <w:p w:rsidR="00A54584" w:rsidRPr="00A54584" w:rsidRDefault="00A54584" w:rsidP="00A54584">
      <w:pPr>
        <w:pStyle w:val="a3"/>
        <w:ind w:left="720"/>
        <w:jc w:val="both"/>
        <w:rPr>
          <w:lang w:val="en-US"/>
        </w:rPr>
      </w:pPr>
      <w:r>
        <w:rPr>
          <w:rStyle w:val="a4"/>
        </w:rPr>
        <w:t>Е</w:t>
      </w:r>
      <w:r w:rsidRPr="00A54584">
        <w:rPr>
          <w:rStyle w:val="a4"/>
          <w:lang w:val="en-US"/>
        </w:rPr>
        <w:t>-mail</w:t>
      </w:r>
      <w:r w:rsidRPr="00A54584">
        <w:rPr>
          <w:lang w:val="en-US"/>
        </w:rPr>
        <w:t>: selhoz@admin-smolensk.ru</w:t>
      </w:r>
    </w:p>
    <w:p w:rsidR="00A54584" w:rsidRDefault="00A54584" w:rsidP="00BF19C4">
      <w:pPr>
        <w:pStyle w:val="a3"/>
        <w:ind w:left="720"/>
        <w:jc w:val="both"/>
      </w:pPr>
      <w:r>
        <w:rPr>
          <w:rStyle w:val="a4"/>
        </w:rPr>
        <w:t>Срок окончания приема документов</w:t>
      </w:r>
      <w:r w:rsidR="004C370C">
        <w:t xml:space="preserve">: </w:t>
      </w:r>
      <w:r w:rsidR="00A04B14">
        <w:t xml:space="preserve">до 1 февраля </w:t>
      </w:r>
      <w:r>
        <w:t>202</w:t>
      </w:r>
      <w:r w:rsidR="00C73258">
        <w:t>1</w:t>
      </w:r>
      <w:r>
        <w:t xml:space="preserve"> года</w:t>
      </w:r>
      <w:r w:rsidR="00A04B14">
        <w:t xml:space="preserve"> включительно.</w:t>
      </w:r>
    </w:p>
    <w:p w:rsidR="00A54584" w:rsidRDefault="00310F4D" w:rsidP="00A54584">
      <w:pPr>
        <w:pStyle w:val="a3"/>
        <w:ind w:left="720"/>
        <w:jc w:val="both"/>
      </w:pPr>
      <w:hyperlink r:id="rId6" w:history="1">
        <w:r w:rsidR="00A54584">
          <w:rPr>
            <w:rStyle w:val="a4"/>
            <w:color w:val="0000FF"/>
            <w:u w:val="single"/>
          </w:rPr>
          <w:t>Постановление Администрации Смоленской области от 11.11.2019</w:t>
        </w:r>
        <w:r w:rsidR="00D81B02">
          <w:rPr>
            <w:rStyle w:val="a4"/>
            <w:color w:val="0000FF"/>
            <w:u w:val="single"/>
          </w:rPr>
          <w:t xml:space="preserve"> </w:t>
        </w:r>
        <w:r w:rsidR="00A54584">
          <w:rPr>
            <w:rStyle w:val="a4"/>
            <w:color w:val="0000FF"/>
            <w:u w:val="single"/>
          </w:rPr>
          <w:t>№ 675</w:t>
        </w:r>
      </w:hyperlink>
      <w:r w:rsidR="00A54584">
        <w:t> </w:t>
      </w:r>
      <w:r w:rsidR="00A54584">
        <w:rPr>
          <w:rStyle w:val="a6"/>
        </w:rPr>
        <w:t>«Об утверждении Порядка определения объема и предоставления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r w:rsidR="00D405C7">
        <w:rPr>
          <w:rStyle w:val="a6"/>
        </w:rPr>
        <w:t xml:space="preserve"> (далее – Порядок)</w:t>
      </w:r>
    </w:p>
    <w:p w:rsidR="00A54584" w:rsidRDefault="00A54584" w:rsidP="00A54584">
      <w:pPr>
        <w:pStyle w:val="a3"/>
        <w:ind w:left="720"/>
        <w:jc w:val="both"/>
      </w:pPr>
      <w:r>
        <w:rPr>
          <w:rStyle w:val="a4"/>
        </w:rPr>
        <w:t>Целью предоставления</w:t>
      </w:r>
      <w:r>
        <w:t xml:space="preserve"> субсидий является финансовое обеспечение затрат некоммерческих организаций в </w:t>
      </w:r>
      <w:r w:rsidR="00DF6013">
        <w:t>2021</w:t>
      </w:r>
      <w:r>
        <w:t xml:space="preserve"> году, связанных с созданием и (или) развитием центра сельскохозяйственного консультирования на территории Смоленской области для оказания комплекса информационно-консультационных услуг, направленных на содействие развития субъектов малого и среднего предпринимательства, осуществляющих сельскохозяйственную деятельность, в соответствии с </w:t>
      </w:r>
      <w:r>
        <w:rPr>
          <w:rStyle w:val="a4"/>
        </w:rPr>
        <w:t>направлениями</w:t>
      </w:r>
      <w:r>
        <w:t xml:space="preserve"> расходования субсидии.</w:t>
      </w:r>
    </w:p>
    <w:p w:rsidR="00A54584" w:rsidRDefault="00A54584" w:rsidP="00A54584">
      <w:pPr>
        <w:pStyle w:val="a3"/>
        <w:ind w:left="720"/>
        <w:jc w:val="both"/>
      </w:pPr>
      <w:r>
        <w:t>Субсидии предоставляются некоммерческим организациям, относящимся к категории юридических лиц (за исключением государственных (муниципальных) учреждений), являющимся автономными некоммерческими организациями, зарегистрированными на территории Смоленской области, относящимся к инфраструктуре поддержки субъектов малого и среднего предпринимательства в соответствии со статьей 15 Федерального закона «О развитии малого и среднего предпринимательства в Российской Федерации», одним из учредителей которых является Смоленская область.</w:t>
      </w:r>
    </w:p>
    <w:p w:rsidR="00A54584" w:rsidRDefault="00A54584" w:rsidP="00A54584">
      <w:pPr>
        <w:pStyle w:val="a3"/>
        <w:ind w:left="720"/>
        <w:jc w:val="both"/>
      </w:pPr>
      <w:r>
        <w:rPr>
          <w:rStyle w:val="a4"/>
        </w:rPr>
        <w:t>Условиями предоставления субсидий являются:</w:t>
      </w:r>
    </w:p>
    <w:p w:rsidR="00A54584" w:rsidRDefault="00A54584" w:rsidP="00A54584">
      <w:pPr>
        <w:pStyle w:val="a3"/>
        <w:ind w:left="720"/>
        <w:jc w:val="both"/>
      </w:pPr>
      <w:r>
        <w:t>- отсутствие у некоммерческой организации недоимки по уплате налогов, сборов, страховых взносов, пеней, штрафов, процентов в бюджетную систему Российской Федерации по месту нахождения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w:t>
      </w:r>
    </w:p>
    <w:p w:rsidR="00A54584" w:rsidRDefault="00A54584" w:rsidP="00A54584">
      <w:pPr>
        <w:pStyle w:val="a3"/>
        <w:ind w:left="720"/>
        <w:jc w:val="both"/>
      </w:pPr>
      <w:r>
        <w:lastRenderedPageBreak/>
        <w:t>- ненахождение некоммерческой организации в процессе ликвидации или состоянии банкротства;</w:t>
      </w:r>
    </w:p>
    <w:p w:rsidR="006420F7" w:rsidRDefault="00A54584" w:rsidP="00A54584">
      <w:pPr>
        <w:pStyle w:val="a3"/>
        <w:ind w:left="720"/>
        <w:jc w:val="both"/>
      </w:pPr>
      <w:r>
        <w:t>- неполучение некоммерческой организацией средств областного бюджета на основании иных нормативных правовых актов или муниципальных правовых актов на цель,</w:t>
      </w:r>
      <w:r w:rsidR="00D405C7">
        <w:t xml:space="preserve"> указанную в пункте 4 </w:t>
      </w:r>
      <w:r w:rsidR="006420F7">
        <w:t>Порядка.</w:t>
      </w:r>
    </w:p>
    <w:p w:rsidR="00A54584" w:rsidRDefault="00A54584" w:rsidP="00A54584">
      <w:pPr>
        <w:pStyle w:val="a3"/>
        <w:ind w:left="720"/>
        <w:jc w:val="both"/>
      </w:pPr>
      <w:r>
        <w:t>Для получения субсидии некоммерческая организация не позднее даты окончания приема документов представляет в уполномоченный орган следующие </w:t>
      </w:r>
      <w:r>
        <w:rPr>
          <w:rStyle w:val="a4"/>
        </w:rPr>
        <w:t>документы</w:t>
      </w:r>
      <w:r>
        <w:t>:</w:t>
      </w:r>
    </w:p>
    <w:p w:rsidR="00A54584" w:rsidRDefault="00A54584" w:rsidP="00A54584">
      <w:pPr>
        <w:pStyle w:val="a3"/>
        <w:ind w:left="720"/>
        <w:jc w:val="both"/>
      </w:pPr>
      <w:r>
        <w:t>1) </w:t>
      </w:r>
      <w:hyperlink r:id="rId7" w:history="1">
        <w:r>
          <w:rPr>
            <w:rStyle w:val="a4"/>
            <w:color w:val="0000FF"/>
            <w:u w:val="single"/>
          </w:rPr>
          <w:t>заявление</w:t>
        </w:r>
      </w:hyperlink>
      <w:r>
        <w:t> о предоставлении субсидии;</w:t>
      </w:r>
    </w:p>
    <w:p w:rsidR="00A54584" w:rsidRDefault="00A54584" w:rsidP="00A54584">
      <w:pPr>
        <w:pStyle w:val="a3"/>
        <w:ind w:left="720"/>
        <w:jc w:val="both"/>
      </w:pPr>
      <w:r>
        <w:t>2) </w:t>
      </w:r>
      <w:r w:rsidRPr="00D405C7">
        <w:rPr>
          <w:b/>
          <w:color w:val="7030A0"/>
          <w:u w:val="single"/>
        </w:rPr>
        <w:t>направления</w:t>
      </w:r>
      <w:r>
        <w:t xml:space="preserve"> расходования субсидии автономным некоммерческим организациям, не являющимся государственными (муниципальными) учреждениями, на создание и (или) развитие центра сельско</w:t>
      </w:r>
      <w:r w:rsidR="00DF6013">
        <w:t xml:space="preserve">хозяйственного консультирования, </w:t>
      </w:r>
      <w:r w:rsidR="00E0502E">
        <w:t>согласно таблице:</w:t>
      </w: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709"/>
        <w:gridCol w:w="6804"/>
        <w:gridCol w:w="2268"/>
      </w:tblGrid>
      <w:tr w:rsidR="00E328F5" w:rsidRPr="00E328F5" w:rsidTr="00A04B14">
        <w:tc>
          <w:tcPr>
            <w:tcW w:w="709" w:type="dxa"/>
            <w:vMerge w:val="restart"/>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jc w:val="center"/>
            </w:pPr>
            <w:r w:rsidRPr="00E328F5">
              <w:t>N</w:t>
            </w:r>
            <w:r w:rsidR="00A04B14">
              <w:br/>
            </w:r>
            <w:r w:rsidRPr="00E328F5">
              <w:t>п/п</w:t>
            </w:r>
          </w:p>
        </w:tc>
        <w:tc>
          <w:tcPr>
            <w:tcW w:w="6804" w:type="dxa"/>
            <w:vMerge w:val="restart"/>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pPr>
            <w:r w:rsidRPr="00E328F5">
              <w:t>Направления расходования субсидии</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jc w:val="center"/>
            </w:pPr>
            <w:r w:rsidRPr="00E328F5">
              <w:t>20___ год (год предоставления субсидии)</w:t>
            </w:r>
          </w:p>
        </w:tc>
      </w:tr>
      <w:tr w:rsidR="00E328F5" w:rsidRPr="00E328F5" w:rsidTr="00A04B14">
        <w:tc>
          <w:tcPr>
            <w:tcW w:w="709" w:type="dxa"/>
            <w:vMerge/>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p>
        </w:tc>
        <w:tc>
          <w:tcPr>
            <w:tcW w:w="6804" w:type="dxa"/>
            <w:vMerge/>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jc w:val="center"/>
            </w:pPr>
            <w:r w:rsidRPr="00E328F5">
              <w:t>сумма (тыс. рублей)</w:t>
            </w:r>
          </w:p>
        </w:tc>
      </w:tr>
      <w:tr w:rsidR="00E328F5" w:rsidRPr="00E328F5" w:rsidTr="00A04B14">
        <w:tc>
          <w:tcPr>
            <w:tcW w:w="709" w:type="dxa"/>
            <w:vMerge/>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p>
        </w:tc>
        <w:tc>
          <w:tcPr>
            <w:tcW w:w="6804" w:type="dxa"/>
            <w:vMerge/>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jc w:val="center"/>
            </w:pPr>
            <w:r w:rsidRPr="00E328F5">
              <w:t>средства областного бюджета</w:t>
            </w:r>
          </w:p>
        </w:tc>
      </w:tr>
      <w:tr w:rsidR="00E328F5" w:rsidRPr="00E328F5" w:rsidTr="00A04B14">
        <w:tc>
          <w:tcPr>
            <w:tcW w:w="709" w:type="dxa"/>
            <w:vMerge/>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p>
        </w:tc>
        <w:tc>
          <w:tcPr>
            <w:tcW w:w="6804" w:type="dxa"/>
            <w:vMerge/>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jc w:val="center"/>
            </w:pPr>
            <w:r w:rsidRPr="00E328F5">
              <w:t>план</w:t>
            </w: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jc w:val="center"/>
            </w:pPr>
            <w:r w:rsidRPr="00E328F5">
              <w:t>1</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r w:rsidRPr="00E328F5">
              <w:t>2</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r w:rsidRPr="00E328F5">
              <w:t>3</w:t>
            </w:r>
          </w:p>
        </w:tc>
      </w:tr>
      <w:tr w:rsidR="00E328F5" w:rsidRPr="00E328F5" w:rsidTr="00E328F5">
        <w:tc>
          <w:tcPr>
            <w:tcW w:w="9781" w:type="dxa"/>
            <w:gridSpan w:val="3"/>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r w:rsidRPr="00E328F5">
              <w:t>I. Общие расходы центра сельскохозяйственного консультирования</w:t>
            </w: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1.</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Фонд оплаты труда:</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1.1.</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Премиальный фонд</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1.2.</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Начисления на оплату труда</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2.</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Приобретение основных средств для обеспечения деятельности центра сельскохозяйственного консультирования</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3.</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Приобретение нематериальных активов (программы для электронных вычислительных машин, оборудования)</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4.</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Создание и (или) доработка, и (или) настройка сайта центра сельскохозяйственного консультирования в информационно-телекоммуникационной сети "Интернет"</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5.</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 xml:space="preserve">Внедрение фирменного стиля центра сельскохозяйственного консультирования, в том числе изготовление полиграфической продукции, предназначенной для информирования субъектов малого и среднего предпринимательства, осуществляющих сельскохозяйственную деятельность, и граждан, ведущих личные подсобные хозяйства, планирующих начать предпринимательскую деятельность, об услугах и мерах поддержки, предоставляемых в центре сельскохозяйственного </w:t>
            </w:r>
            <w:r w:rsidRPr="00E328F5">
              <w:lastRenderedPageBreak/>
              <w:t>консультирования, в средствах массовой информации; изготовление и установка средств навигации, табличек, вывесок и другое</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6.</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Приобретение расходных материалов</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7.</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Командировки</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8.</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Услуги связи (в том числе мобильной связи)</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9.</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Коммунальные услуги, включая аренду помещений</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10.</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Прочие текущие расходы</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11.</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Продвижение информации о деятельности центра сельскохозяйственного консультирования в средствах массовой информации, включая телевидение, радио, печать, наружную рекламу, информационно-телекоммуникационную сеть "Интернет", за счет распространения сувенирной продукции центра сельскохозяйственного консультирования, включая канцтовары (ручки, карандаши, блокноты и другое), а также внешние носители информации с символикой центра сельскохозяйственного консультирования</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E328F5">
        <w:tc>
          <w:tcPr>
            <w:tcW w:w="9781" w:type="dxa"/>
            <w:gridSpan w:val="3"/>
            <w:tcBorders>
              <w:top w:val="single" w:sz="4" w:space="0" w:color="auto"/>
              <w:left w:val="single" w:sz="4" w:space="0" w:color="auto"/>
              <w:bottom w:val="single" w:sz="4" w:space="0" w:color="auto"/>
              <w:right w:val="single" w:sz="4" w:space="0" w:color="auto"/>
            </w:tcBorders>
          </w:tcPr>
          <w:p w:rsidR="00E328F5" w:rsidRPr="00E328F5" w:rsidRDefault="00E328F5" w:rsidP="00A04B14">
            <w:pPr>
              <w:pStyle w:val="a3"/>
              <w:ind w:left="720"/>
              <w:jc w:val="center"/>
            </w:pPr>
            <w:r w:rsidRPr="00E328F5">
              <w:t>II. Поддержка предпринимательства</w:t>
            </w: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1.</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Оплата услуг сторонних организаций и физических лиц:</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1.1.</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Консультационные услуги с привлечением сторонних профильных экспертов</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1.2.</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Содействие в популяризации продукции субъектов малого и среднего предпринимательства, осуществляющих сельскохозяйственную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1.3.</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Иные услуги (расшифровать)</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2.</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Расходы на семинары, совещания, конференции, круглые столы, обучающие мероприятия, межрегиональные бизнес-миссии, выставочно-ярмарочные мероприятия в Российской Федерации, стратегические сессии, тренинги, деловые игры или иные мероприятия:</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2.1.</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Проведение обучающих программ для субъектов малого и среднего предпринимательства, осуществляющих сельскохозяйственную деятельность, и граждан, ведущих личные подсобные хозяйства, планирующих начать предпринимательскую деятельность</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2.2.</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Проведение обучающих мероприятий, направленных на повышение квалификации сотрудников субъектов малого и среднего предпринимательства, осуществляющих сельскохозяйственную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2.3.</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Проведение семинаров, круглых столов, вебинаров</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lastRenderedPageBreak/>
              <w:t>2.4.</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Проведение мастер-классов, тренингов</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2.5.</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Организация и проведение совещаний, конференций, форумов</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2.6.</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Организация и проведение межрегиональной(-ых) бизнес-миссии (бизнес-миссий)</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2.7.</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Организация участия субъектов малого и среднего предпринимательства, осуществляющих сельскохозяйственную деятельность, в выставочно-ярмарочных мероприятиях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2.8.</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Иные мероприятия</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09"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pPr>
            <w:r w:rsidRPr="00E328F5">
              <w:t>3.</w:t>
            </w:r>
          </w:p>
        </w:tc>
        <w:tc>
          <w:tcPr>
            <w:tcW w:w="6804"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jc w:val="both"/>
            </w:pPr>
            <w:r w:rsidRPr="00E328F5">
              <w:t>Иные расходы (указать)</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r w:rsidR="00E328F5" w:rsidRPr="00E328F5" w:rsidTr="00A04B14">
        <w:tc>
          <w:tcPr>
            <w:tcW w:w="7513" w:type="dxa"/>
            <w:gridSpan w:val="2"/>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pPr>
            <w:r w:rsidRPr="00E328F5">
              <w:t>Итого</w:t>
            </w:r>
          </w:p>
        </w:tc>
        <w:tc>
          <w:tcPr>
            <w:tcW w:w="2268" w:type="dxa"/>
            <w:tcBorders>
              <w:top w:val="single" w:sz="4" w:space="0" w:color="auto"/>
              <w:left w:val="single" w:sz="4" w:space="0" w:color="auto"/>
              <w:bottom w:val="single" w:sz="4" w:space="0" w:color="auto"/>
              <w:right w:val="single" w:sz="4" w:space="0" w:color="auto"/>
            </w:tcBorders>
          </w:tcPr>
          <w:p w:rsidR="00E328F5" w:rsidRPr="00E328F5" w:rsidRDefault="00E328F5" w:rsidP="00E328F5">
            <w:pPr>
              <w:pStyle w:val="a3"/>
              <w:ind w:left="720"/>
              <w:jc w:val="both"/>
            </w:pPr>
          </w:p>
        </w:tc>
      </w:tr>
    </w:tbl>
    <w:p w:rsidR="00E328F5" w:rsidRDefault="00310F4D" w:rsidP="00E328F5">
      <w:pPr>
        <w:pStyle w:val="a3"/>
        <w:ind w:left="720"/>
        <w:jc w:val="both"/>
      </w:pPr>
      <w:hyperlink r:id="rId8" w:history="1">
        <w:r w:rsidR="00E328F5">
          <w:rPr>
            <w:rStyle w:val="a4"/>
            <w:color w:val="0000FF"/>
            <w:u w:val="single"/>
          </w:rPr>
          <w:t>Соглашение</w:t>
        </w:r>
        <w:r w:rsidR="00E328F5" w:rsidRPr="00310F4D">
          <w:rPr>
            <w:rStyle w:val="a5"/>
            <w:u w:val="none"/>
          </w:rPr>
          <w:t> </w:t>
        </w:r>
      </w:hyperlink>
      <w:r w:rsidR="00E328F5">
        <w:rPr>
          <w:rStyle w:val="a6"/>
        </w:rPr>
        <w:t>о предоставлении из областного бюджета субсидий автономной некоммерческой организации, не являющейся государственным  (муниципальным) учреждением, на создание и (или) развитие центра сельскохозяйственного консультирования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p w:rsidR="00A54584" w:rsidRDefault="00A54584" w:rsidP="00A54584">
      <w:pPr>
        <w:pStyle w:val="a3"/>
        <w:ind w:left="720"/>
        <w:jc w:val="both"/>
      </w:pPr>
      <w:r>
        <w:t>3) информацию налогового органа об исполнении некоммерческой организацией обязанности по уплате налогов, сборов, страховых взносов, пеней, штрафов, процентов по месту нахождения некоммерческой организации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 выданную налоговым органом или подписанную усиленной к</w:t>
      </w:r>
      <w:r w:rsidR="00310F4D">
        <w:t xml:space="preserve"> </w:t>
      </w:r>
      <w:bookmarkStart w:id="0" w:name="_GoBack"/>
      <w:bookmarkEnd w:id="0"/>
      <w:r>
        <w:t>валифицированной электронной подписью по состоянию не ранее 30 календарных дней до даты подачи документов для получения субсидии;</w:t>
      </w:r>
    </w:p>
    <w:p w:rsidR="00DF6013" w:rsidRDefault="00A54584" w:rsidP="00A54584">
      <w:pPr>
        <w:pStyle w:val="a3"/>
        <w:ind w:left="720"/>
        <w:jc w:val="both"/>
      </w:pPr>
      <w:r>
        <w:t xml:space="preserve">4) выписку из Единого государственного реестра юридических лиц, полученную некоммерческой организацией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о предоставлении субсидии (представляется по собственной инициативе). </w:t>
      </w:r>
    </w:p>
    <w:p w:rsidR="00DF6013" w:rsidRDefault="00A54584" w:rsidP="00A54584">
      <w:pPr>
        <w:pStyle w:val="a3"/>
        <w:ind w:left="720"/>
        <w:jc w:val="both"/>
      </w:pPr>
      <w:r>
        <w:t xml:space="preserve">5) информацию Фонда социального страхования Российской Федерации о состоянии расчетов по страховым взносам, пеням и штрафам некоммерческой организации, выданную по состоянию не ранее 30 календарных дней до даты подачи документов для получения субсидии (представляется некоммерческой организацией по собственной инициативе). </w:t>
      </w:r>
    </w:p>
    <w:p w:rsidR="00A54584" w:rsidRDefault="00A54584" w:rsidP="00A54584">
      <w:pPr>
        <w:pStyle w:val="a3"/>
        <w:ind w:left="720"/>
        <w:jc w:val="both"/>
      </w:pPr>
      <w:r>
        <w:t>Указанные документы подаются нарочным</w:t>
      </w:r>
      <w:r w:rsidR="006B13C8">
        <w:t xml:space="preserve"> способом</w:t>
      </w:r>
      <w:r>
        <w:t xml:space="preserve"> в уполномоченный орган в одном экземпляре руководителем некоммерческой организации либо уполномоченным представителем некоммерческой организации на основании доверенности, оформленной в соответствии с федеральным законодательством.</w:t>
      </w:r>
    </w:p>
    <w:p w:rsidR="00D7595B" w:rsidRPr="00A54584" w:rsidRDefault="00A54584" w:rsidP="00A04B14">
      <w:pPr>
        <w:pStyle w:val="a3"/>
        <w:ind w:left="720"/>
        <w:jc w:val="both"/>
        <w:rPr>
          <w:sz w:val="28"/>
        </w:rPr>
      </w:pPr>
      <w:r>
        <w:t>Некоммерческая организация несет ответственность за достоверность сведений, содержащихся в представляемых в уполномоченный орган для получения субсидии документах.</w:t>
      </w:r>
    </w:p>
    <w:sectPr w:rsidR="00D7595B" w:rsidRPr="00A54584" w:rsidSect="00A54584">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17" w:rsidRDefault="00E95C17" w:rsidP="00A54584">
      <w:pPr>
        <w:spacing w:after="0" w:line="240" w:lineRule="auto"/>
      </w:pPr>
      <w:r>
        <w:separator/>
      </w:r>
    </w:p>
  </w:endnote>
  <w:endnote w:type="continuationSeparator" w:id="0">
    <w:p w:rsidR="00E95C17" w:rsidRDefault="00E95C17" w:rsidP="00A5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17" w:rsidRDefault="00E95C17" w:rsidP="00A54584">
      <w:pPr>
        <w:spacing w:after="0" w:line="240" w:lineRule="auto"/>
      </w:pPr>
      <w:r>
        <w:separator/>
      </w:r>
    </w:p>
  </w:footnote>
  <w:footnote w:type="continuationSeparator" w:id="0">
    <w:p w:rsidR="00E95C17" w:rsidRDefault="00E95C17" w:rsidP="00A54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73845"/>
      <w:docPartObj>
        <w:docPartGallery w:val="Page Numbers (Top of Page)"/>
        <w:docPartUnique/>
      </w:docPartObj>
    </w:sdtPr>
    <w:sdtEndPr/>
    <w:sdtContent>
      <w:p w:rsidR="00E95C17" w:rsidRDefault="00E95C17">
        <w:pPr>
          <w:pStyle w:val="a7"/>
          <w:jc w:val="center"/>
        </w:pPr>
        <w:r>
          <w:fldChar w:fldCharType="begin"/>
        </w:r>
        <w:r>
          <w:instrText>PAGE   \* MERGEFORMAT</w:instrText>
        </w:r>
        <w:r>
          <w:fldChar w:fldCharType="separate"/>
        </w:r>
        <w:r w:rsidR="00310F4D">
          <w:rPr>
            <w:noProof/>
          </w:rPr>
          <w:t>2</w:t>
        </w:r>
        <w:r>
          <w:fldChar w:fldCharType="end"/>
        </w:r>
      </w:p>
    </w:sdtContent>
  </w:sdt>
  <w:p w:rsidR="00E95C17" w:rsidRDefault="00E95C1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2B"/>
    <w:rsid w:val="00155017"/>
    <w:rsid w:val="001C1CDF"/>
    <w:rsid w:val="00310F4D"/>
    <w:rsid w:val="003A7B22"/>
    <w:rsid w:val="00411796"/>
    <w:rsid w:val="004C370C"/>
    <w:rsid w:val="006420F7"/>
    <w:rsid w:val="006B13C8"/>
    <w:rsid w:val="008B4E4F"/>
    <w:rsid w:val="008C088C"/>
    <w:rsid w:val="00927FC6"/>
    <w:rsid w:val="00A04B14"/>
    <w:rsid w:val="00A32D8C"/>
    <w:rsid w:val="00A54584"/>
    <w:rsid w:val="00A70097"/>
    <w:rsid w:val="00BB282B"/>
    <w:rsid w:val="00BF19C4"/>
    <w:rsid w:val="00C73258"/>
    <w:rsid w:val="00D405C7"/>
    <w:rsid w:val="00D7595B"/>
    <w:rsid w:val="00D81B02"/>
    <w:rsid w:val="00DF6013"/>
    <w:rsid w:val="00E0502E"/>
    <w:rsid w:val="00E328F5"/>
    <w:rsid w:val="00E9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E7D91-19CF-46B4-8E79-F5BEFD67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
    <w:name w:val="news__date"/>
    <w:basedOn w:val="a0"/>
    <w:rsid w:val="00A54584"/>
  </w:style>
  <w:style w:type="character" w:customStyle="1" w:styleId="news-title">
    <w:name w:val="news-title"/>
    <w:basedOn w:val="a0"/>
    <w:rsid w:val="00A54584"/>
  </w:style>
  <w:style w:type="character" w:styleId="a4">
    <w:name w:val="Strong"/>
    <w:basedOn w:val="a0"/>
    <w:uiPriority w:val="22"/>
    <w:qFormat/>
    <w:rsid w:val="00A54584"/>
    <w:rPr>
      <w:b/>
      <w:bCs/>
    </w:rPr>
  </w:style>
  <w:style w:type="character" w:styleId="a5">
    <w:name w:val="Hyperlink"/>
    <w:basedOn w:val="a0"/>
    <w:uiPriority w:val="99"/>
    <w:semiHidden/>
    <w:unhideWhenUsed/>
    <w:rsid w:val="00A54584"/>
    <w:rPr>
      <w:color w:val="0000FF"/>
      <w:u w:val="single"/>
    </w:rPr>
  </w:style>
  <w:style w:type="character" w:styleId="a6">
    <w:name w:val="Emphasis"/>
    <w:basedOn w:val="a0"/>
    <w:uiPriority w:val="20"/>
    <w:qFormat/>
    <w:rsid w:val="00A54584"/>
    <w:rPr>
      <w:i/>
      <w:iCs/>
    </w:rPr>
  </w:style>
  <w:style w:type="paragraph" w:styleId="a7">
    <w:name w:val="header"/>
    <w:basedOn w:val="a"/>
    <w:link w:val="a8"/>
    <w:uiPriority w:val="99"/>
    <w:unhideWhenUsed/>
    <w:rsid w:val="00A545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4584"/>
  </w:style>
  <w:style w:type="paragraph" w:styleId="a9">
    <w:name w:val="footer"/>
    <w:basedOn w:val="a"/>
    <w:link w:val="aa"/>
    <w:uiPriority w:val="99"/>
    <w:unhideWhenUsed/>
    <w:rsid w:val="00A545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4584"/>
  </w:style>
  <w:style w:type="paragraph" w:styleId="ab">
    <w:name w:val="Balloon Text"/>
    <w:basedOn w:val="a"/>
    <w:link w:val="ac"/>
    <w:uiPriority w:val="99"/>
    <w:semiHidden/>
    <w:unhideWhenUsed/>
    <w:rsid w:val="00BF19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1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hoz.admin-smolensk.ru/files/198/soglashenie.docx" TargetMode="External"/><Relationship Id="rId3" Type="http://schemas.openxmlformats.org/officeDocument/2006/relationships/webSettings" Target="webSettings.xml"/><Relationship Id="rId7" Type="http://schemas.openxmlformats.org/officeDocument/2006/relationships/hyperlink" Target="https://selhoz.admin-smolensk.ru/files/198/16.01.2020_11.34.58_zayavleni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lhoz.admin-smolensk.ru/files/198/16.01.2020_11.34.58_postanovlenie.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Луковенко Александр Сергеевич</dc:creator>
  <cp:lastModifiedBy>Иванов Владимир Владимирович</cp:lastModifiedBy>
  <cp:revision>9</cp:revision>
  <cp:lastPrinted>2021-01-18T07:52:00Z</cp:lastPrinted>
  <dcterms:created xsi:type="dcterms:W3CDTF">2021-01-15T10:21:00Z</dcterms:created>
  <dcterms:modified xsi:type="dcterms:W3CDTF">2021-01-18T09:07:00Z</dcterms:modified>
</cp:coreProperties>
</file>