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МИНИСТЕРСТВО ФИНАНСОВ РОССИЙСКОЙ ФЕДЕРАЦИИ</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 </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ПРИКАЗ</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от 27 декабря 2007 г. N 153н</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 </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ОБ УТВЕРЖДЕНИИ ПОЛОЖЕНИЯ</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ПО БУХГАЛТЕРСКОМУ УЧЕТУ "УЧЕТ НЕМАТЕРИАЛЬНЫХ АКТИВОВ"</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(ПБУ 14/2007)</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В целях совершенствования нормативно-правового регулирования в сфере </w:t>
      </w:r>
      <w:r w:rsidRPr="00A03AAE">
        <w:rPr>
          <w:rFonts w:ascii="Times New Roman" w:eastAsia="Times New Roman" w:hAnsi="Times New Roman" w:cs="Times New Roman"/>
          <w:color w:val="0000FF"/>
          <w:sz w:val="28"/>
          <w:szCs w:val="28"/>
          <w:u w:val="single"/>
        </w:rPr>
        <w:t>бухгалтерского учета</w:t>
      </w:r>
      <w:r w:rsidRPr="00A03AAE">
        <w:rPr>
          <w:rFonts w:ascii="Times New Roman" w:eastAsia="Times New Roman" w:hAnsi="Times New Roman" w:cs="Times New Roman"/>
          <w:sz w:val="28"/>
          <w:szCs w:val="28"/>
        </w:rPr>
        <w:t xml:space="preserve"> и бухгалтерской отчетности и в соответствии с </w:t>
      </w:r>
      <w:r w:rsidRPr="00A03AAE">
        <w:rPr>
          <w:rFonts w:ascii="Times New Roman" w:eastAsia="Times New Roman" w:hAnsi="Times New Roman" w:cs="Times New Roman"/>
          <w:color w:val="0000FF"/>
          <w:sz w:val="28"/>
          <w:szCs w:val="28"/>
          <w:u w:val="single"/>
        </w:rPr>
        <w:t>Положением</w:t>
      </w:r>
      <w:r w:rsidRPr="00A03AAE">
        <w:rPr>
          <w:rFonts w:ascii="Times New Roman" w:eastAsia="Times New Roman" w:hAnsi="Times New Roman" w:cs="Times New Roman"/>
          <w:sz w:val="28"/>
          <w:szCs w:val="28"/>
        </w:rPr>
        <w:t xml:space="preserve">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 N 52, ст. 5755; 2006, N 32, ст. 3569; N 47, ст. 4900; 2007, N 23, ст. 2801; N 45, ст. 5491) приказываю:</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1. Утвердить прилагаемое </w:t>
      </w:r>
      <w:r w:rsidRPr="00A03AAE">
        <w:rPr>
          <w:rFonts w:ascii="Times New Roman" w:eastAsia="Times New Roman" w:hAnsi="Times New Roman" w:cs="Times New Roman"/>
          <w:color w:val="0000FF"/>
          <w:sz w:val="28"/>
          <w:szCs w:val="28"/>
          <w:u w:val="single"/>
        </w:rPr>
        <w:t>Положение</w:t>
      </w:r>
      <w:r w:rsidRPr="00A03AAE">
        <w:rPr>
          <w:rFonts w:ascii="Times New Roman" w:eastAsia="Times New Roman" w:hAnsi="Times New Roman" w:cs="Times New Roman"/>
          <w:sz w:val="28"/>
          <w:szCs w:val="28"/>
        </w:rPr>
        <w:t xml:space="preserve"> по бухгалтерскому учету "Учет нематериальных активов" (ПБУ 14/2007).</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 Установить, что настоящий Приказ вступает в силу с бухгалтерской отчетности 2008 года.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 Установить, что организации, являющиеся юридическими лицами по законодательству Российской Федерации (за исключением кредитных организаций и бюджетных учреждений), производят в бухгалтерском учете по состоянию на 1 января 2008 года списание величины организационных расходов, учитываемых в составе нематериальных активов, за минусом начисленной амортизации на счет учета нераспределенной прибыли (непокрытого убытка).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 Установить, что настоящий Приказ распространяется на некоммерческие организации в отношении объектов, принятых организацией к бухгалтерскому учету в 2008 и последующие годы.</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Заместитель</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Председателя Правительства</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Российской Федерации -</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Министр финансов</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Российской Федерации</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А.Л.КУДРИН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Приложение</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к Приказу Министерства финансов</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Российской Федерации</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от 27.12.2007 N 153н</w:t>
      </w:r>
    </w:p>
    <w:p w:rsidR="00A03AAE" w:rsidRPr="00A03AAE" w:rsidRDefault="00A03AAE" w:rsidP="00A03AAE">
      <w:pPr>
        <w:spacing w:after="0" w:line="360" w:lineRule="auto"/>
        <w:jc w:val="right"/>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ПОЛОЖЕНИЕ</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ПО БУХГАЛТЕРСКОМУ УЧЕТУ "УЧЕТ НЕМАТЕРИАЛЬНЫХ АКТИВОВ"</w:t>
      </w:r>
    </w:p>
    <w:p w:rsidR="00A03AAE" w:rsidRPr="00A03AAE" w:rsidRDefault="00A03AAE" w:rsidP="00A03AAE">
      <w:pPr>
        <w:spacing w:after="0" w:line="360" w:lineRule="auto"/>
        <w:jc w:val="center"/>
        <w:rPr>
          <w:rFonts w:ascii="Times New Roman" w:eastAsia="Times New Roman" w:hAnsi="Times New Roman" w:cs="Times New Roman"/>
          <w:b/>
          <w:bCs/>
          <w:sz w:val="28"/>
          <w:szCs w:val="28"/>
        </w:rPr>
      </w:pPr>
      <w:r w:rsidRPr="00A03AAE">
        <w:rPr>
          <w:rFonts w:ascii="Times New Roman" w:eastAsia="Times New Roman" w:hAnsi="Times New Roman" w:cs="Times New Roman"/>
          <w:b/>
          <w:bCs/>
          <w:sz w:val="28"/>
          <w:szCs w:val="28"/>
        </w:rPr>
        <w:t>(ПБУ 14/2007)</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I. Общие положения</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1. Настоящее Положение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w:t>
      </w:r>
      <w:r w:rsidRPr="00A03AAE">
        <w:rPr>
          <w:rFonts w:ascii="Times New Roman" w:eastAsia="Times New Roman" w:hAnsi="Times New Roman" w:cs="Times New Roman"/>
          <w:color w:val="0000FF"/>
          <w:sz w:val="28"/>
          <w:szCs w:val="28"/>
          <w:u w:val="single"/>
        </w:rPr>
        <w:t>законодательству</w:t>
      </w:r>
      <w:r w:rsidRPr="00A03AAE">
        <w:rPr>
          <w:rFonts w:ascii="Times New Roman" w:eastAsia="Times New Roman" w:hAnsi="Times New Roman" w:cs="Times New Roman"/>
          <w:sz w:val="28"/>
          <w:szCs w:val="28"/>
        </w:rPr>
        <w:t xml:space="preserve"> Российской Федерации (за исключением кредитных организаций и государственных (муниципальных) учреждений).</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25.10.2010 N 132н)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 Настоящее Положение не применяется в отношении: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а) не давших положительного результата научно-исследовательских, опытно-конструкторских и технологических работ;</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 материальных носителей (вещей),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г) финансовых вложений.</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 Для принятия к бухгалтерскому учету объекта в качестве нематериального актива необходимо единовременное выполнение следующих условий:</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w:t>
      </w:r>
      <w:r w:rsidRPr="00A03AAE">
        <w:rPr>
          <w:rFonts w:ascii="Times New Roman" w:eastAsia="Times New Roman" w:hAnsi="Times New Roman" w:cs="Times New Roman"/>
          <w:color w:val="0000FF"/>
          <w:sz w:val="28"/>
          <w:szCs w:val="28"/>
          <w:u w:val="single"/>
        </w:rPr>
        <w:t>законодательством</w:t>
      </w:r>
      <w:r w:rsidRPr="00A03AAE">
        <w:rPr>
          <w:rFonts w:ascii="Times New Roman" w:eastAsia="Times New Roman" w:hAnsi="Times New Roman" w:cs="Times New Roman"/>
          <w:sz w:val="28"/>
          <w:szCs w:val="28"/>
        </w:rPr>
        <w:t xml:space="preserve"> Российской Федерации);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 контроль над объектом);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 возможность выделения или отделения (идентификации) объекта от других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proofErr w:type="spellStart"/>
      <w:r w:rsidRPr="00A03AAE">
        <w:rPr>
          <w:rFonts w:ascii="Times New Roman" w:eastAsia="Times New Roman" w:hAnsi="Times New Roman" w:cs="Times New Roman"/>
          <w:sz w:val="28"/>
          <w:szCs w:val="28"/>
        </w:rPr>
        <w:t>д</w:t>
      </w:r>
      <w:proofErr w:type="spellEnd"/>
      <w:r w:rsidRPr="00A03AAE">
        <w:rPr>
          <w:rFonts w:ascii="Times New Roman" w:eastAsia="Times New Roman" w:hAnsi="Times New Roman" w:cs="Times New Roman"/>
          <w:sz w:val="28"/>
          <w:szCs w:val="28"/>
        </w:rPr>
        <w:t>) организацией не предполагается продажа объекта в течение 12 месяцев или обычного операционного цикла, если он превышает 12 месяцев;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е) фактическая (первоначальная) стоимость объекта может быть достоверно определена;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ж) отсутствие у объекта материально-вещественной формы.</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4. При выполнении условий, установленных в </w:t>
      </w:r>
      <w:r w:rsidRPr="00A03AAE">
        <w:rPr>
          <w:rFonts w:ascii="Times New Roman" w:eastAsia="Times New Roman" w:hAnsi="Times New Roman" w:cs="Times New Roman"/>
          <w:color w:val="0000FF"/>
          <w:sz w:val="28"/>
          <w:szCs w:val="28"/>
          <w:u w:val="single"/>
        </w:rPr>
        <w:t>пункте 3</w:t>
      </w:r>
      <w:r w:rsidRPr="00A03AAE">
        <w:rPr>
          <w:rFonts w:ascii="Times New Roman" w:eastAsia="Times New Roman" w:hAnsi="Times New Roman" w:cs="Times New Roman"/>
          <w:sz w:val="28"/>
          <w:szCs w:val="28"/>
        </w:rPr>
        <w:t xml:space="preserve"> настоящего Положения, к нематериальным активам относятся, например,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Нематериальными активами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5. Единицей бухгалтерского учета нематериальных активов является инвентарный объект.</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w:t>
      </w:r>
      <w:proofErr w:type="spellStart"/>
      <w:r w:rsidRPr="00A03AAE">
        <w:rPr>
          <w:rFonts w:ascii="Times New Roman" w:eastAsia="Times New Roman" w:hAnsi="Times New Roman" w:cs="Times New Roman"/>
          <w:sz w:val="28"/>
          <w:szCs w:val="28"/>
        </w:rPr>
        <w:t>мультимедийный</w:t>
      </w:r>
      <w:proofErr w:type="spellEnd"/>
      <w:r w:rsidRPr="00A03AAE">
        <w:rPr>
          <w:rFonts w:ascii="Times New Roman" w:eastAsia="Times New Roman" w:hAnsi="Times New Roman" w:cs="Times New Roman"/>
          <w:sz w:val="28"/>
          <w:szCs w:val="28"/>
        </w:rPr>
        <w:t xml:space="preserve"> продукт, единая технология).</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II. Первоначальная оценка нематериальных активов</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6. 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7. 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8. Расходами на приобретение нематериального актива являются: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таможенные пошлины и таможенные сборы;</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невозмещаемые суммы налогов, государственные, патентные и иные пошлины, уплачиваемые в связи с приобретением нематериального актива;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вознаграждения, уплачиваемые посреднической организации и иным лицам, через которые приобретен нематериальный актив;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суммы, уплачиваемые за информационные и консультационные услуги, связанные с приобретением нематериального актива;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9. При создании нематериального актива, кроме расходов, предусмотренных в </w:t>
      </w:r>
      <w:r w:rsidRPr="00A03AAE">
        <w:rPr>
          <w:rFonts w:ascii="Times New Roman" w:eastAsia="Times New Roman" w:hAnsi="Times New Roman" w:cs="Times New Roman"/>
          <w:color w:val="0000FF"/>
          <w:sz w:val="28"/>
          <w:szCs w:val="28"/>
          <w:u w:val="single"/>
        </w:rPr>
        <w:t>пункте 8</w:t>
      </w:r>
      <w:r w:rsidRPr="00A03AAE">
        <w:rPr>
          <w:rFonts w:ascii="Times New Roman" w:eastAsia="Times New Roman" w:hAnsi="Times New Roman" w:cs="Times New Roman"/>
          <w:sz w:val="28"/>
          <w:szCs w:val="28"/>
        </w:rPr>
        <w:t xml:space="preserve"> настоящего Положения, к расходам также относятся: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отчисления на социальные нужды (в том числе единый социальный налог);</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расходы на содержание и эксплуатацию научно-исследовательского оборудования, установок и сооружений, других основных средств и иного </w:t>
      </w:r>
      <w:r w:rsidRPr="00A03AAE">
        <w:rPr>
          <w:rFonts w:ascii="Times New Roman" w:eastAsia="Times New Roman" w:hAnsi="Times New Roman" w:cs="Times New Roman"/>
          <w:sz w:val="28"/>
          <w:szCs w:val="28"/>
        </w:rPr>
        <w:lastRenderedPageBreak/>
        <w:t>имущества, 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10. Не включаются в расходы на приобретение, создание нематериального актива: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возмещаемые суммы налогов, за исключением случаев, предусмотренных законодательством Российской Федерации;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общехозяйственные и иные аналогичные расходы, кроме случаев, когда они непосредственно связаны с приобретением и созданием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расходы по научно-исследовательским, опытно-конструкторским и технологическим работам в предшествовавших отчетных периодах, которые были признаны прочими доходами и расходами.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11. Фактической (первоначальной) стоимостью нематериального актива, внесенного в счет вклада в уставный (складочный) капитал (в том числе в случае внесения государственного или муниципального имущества в качестве вклада в уставные капиталы открытых акционерных обществ), уставный фонд, паевой фонд организации, признается его денежная оценка, согласованная учредителями (участниками) организации, если иное не предусмотрено законодательством Российской Федерации.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12. Фактическая (первоначальная) стоимость нематериального актива, принятого к бухгалтерскому учету при приватизации государственного и муниципального имущества способом преобразования унитарного предприятия в открытое акционерное общество, определяется в порядке, предусмотренном для реорганизации организаций в форме преобразования.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13. Фактическая (первоначальная) стоимость нематериального актива, полученного организацией по договору дарения, определяется исходя из его текущей рыночной стоимости на дату принятия к бухгалтерскому учету в качестве вложений во </w:t>
      </w:r>
      <w:proofErr w:type="spellStart"/>
      <w:r w:rsidRPr="00A03AAE">
        <w:rPr>
          <w:rFonts w:ascii="Times New Roman" w:eastAsia="Times New Roman" w:hAnsi="Times New Roman" w:cs="Times New Roman"/>
          <w:sz w:val="28"/>
          <w:szCs w:val="28"/>
        </w:rPr>
        <w:t>внеоборотные</w:t>
      </w:r>
      <w:proofErr w:type="spellEnd"/>
      <w:r w:rsidRPr="00A03AAE">
        <w:rPr>
          <w:rFonts w:ascii="Times New Roman" w:eastAsia="Times New Roman" w:hAnsi="Times New Roman" w:cs="Times New Roman"/>
          <w:sz w:val="28"/>
          <w:szCs w:val="28"/>
        </w:rPr>
        <w:t xml:space="preserve"> активы.</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14. 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15. Если в отношении нематериальных активов, указанных в </w:t>
      </w:r>
      <w:r w:rsidRPr="00A03AAE">
        <w:rPr>
          <w:rFonts w:ascii="Times New Roman" w:eastAsia="Times New Roman" w:hAnsi="Times New Roman" w:cs="Times New Roman"/>
          <w:color w:val="0000FF"/>
          <w:sz w:val="28"/>
          <w:szCs w:val="28"/>
          <w:u w:val="single"/>
        </w:rPr>
        <w:t>пунктах 11</w:t>
      </w:r>
      <w:r w:rsidRPr="00A03AAE">
        <w:rPr>
          <w:rFonts w:ascii="Times New Roman" w:eastAsia="Times New Roman" w:hAnsi="Times New Roman" w:cs="Times New Roman"/>
          <w:sz w:val="28"/>
          <w:szCs w:val="28"/>
        </w:rPr>
        <w:t xml:space="preserve"> - </w:t>
      </w:r>
      <w:r w:rsidRPr="00A03AAE">
        <w:rPr>
          <w:rFonts w:ascii="Times New Roman" w:eastAsia="Times New Roman" w:hAnsi="Times New Roman" w:cs="Times New Roman"/>
          <w:color w:val="0000FF"/>
          <w:sz w:val="28"/>
          <w:szCs w:val="28"/>
          <w:u w:val="single"/>
        </w:rPr>
        <w:t>14</w:t>
      </w:r>
      <w:r w:rsidRPr="00A03AAE">
        <w:rPr>
          <w:rFonts w:ascii="Times New Roman" w:eastAsia="Times New Roman" w:hAnsi="Times New Roman" w:cs="Times New Roman"/>
          <w:sz w:val="28"/>
          <w:szCs w:val="28"/>
        </w:rPr>
        <w:t xml:space="preserve"> настоящего Положения, возникают расходы, предусмотренные в </w:t>
      </w:r>
      <w:r w:rsidRPr="00A03AAE">
        <w:rPr>
          <w:rFonts w:ascii="Times New Roman" w:eastAsia="Times New Roman" w:hAnsi="Times New Roman" w:cs="Times New Roman"/>
          <w:color w:val="0000FF"/>
          <w:sz w:val="28"/>
          <w:szCs w:val="28"/>
          <w:u w:val="single"/>
        </w:rPr>
        <w:t>пунктах 8</w:t>
      </w:r>
      <w:r w:rsidRPr="00A03AAE">
        <w:rPr>
          <w:rFonts w:ascii="Times New Roman" w:eastAsia="Times New Roman" w:hAnsi="Times New Roman" w:cs="Times New Roman"/>
          <w:sz w:val="28"/>
          <w:szCs w:val="28"/>
        </w:rPr>
        <w:t xml:space="preserve"> и </w:t>
      </w:r>
      <w:r w:rsidRPr="00A03AAE">
        <w:rPr>
          <w:rFonts w:ascii="Times New Roman" w:eastAsia="Times New Roman" w:hAnsi="Times New Roman" w:cs="Times New Roman"/>
          <w:color w:val="0000FF"/>
          <w:sz w:val="28"/>
          <w:szCs w:val="28"/>
          <w:u w:val="single"/>
        </w:rPr>
        <w:t>9</w:t>
      </w:r>
      <w:r w:rsidRPr="00A03AAE">
        <w:rPr>
          <w:rFonts w:ascii="Times New Roman" w:eastAsia="Times New Roman" w:hAnsi="Times New Roman" w:cs="Times New Roman"/>
          <w:sz w:val="28"/>
          <w:szCs w:val="28"/>
        </w:rPr>
        <w:t xml:space="preserve"> настоящего Положения, то такие расходы также включаются в фактическую (первоначальную) стоимость.</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III. Последующая оценка нематериальных активов</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16. Фактическая (первоначальная) стоимость нематериального актива, по которой он принят к бухгалтерскому учету, не подлежит изменению, кроме случаев, установленных законодательством Российской Федерации и настоящим Положением.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17. Коммерческая организация может не чаще одного раза в год (на конец отчетного года) переоценивать группы однородных нематериальных активов по текущей рыночной стоимости, определяемой исключительно по данным активного рынка указанных нематериальных активов.</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lastRenderedPageBreak/>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18. При принятии решения о переоценке нематериальных активов, входящих в однородную группу, следует учитывать, что в последующем данные активы должны переоцениваться регулярно, чтобы стоимость, по которой они отражаются в бухгалтерской отчетности, существенно не отличалась от текущей рыночной стоимости.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19. Переоценка нематериальных активов производится путем пересчета их остаточной стоимости.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20. Утратил силу. - </w:t>
      </w:r>
      <w:r w:rsidRPr="00A03AAE">
        <w:rPr>
          <w:rFonts w:ascii="Times New Roman" w:eastAsia="Times New Roman" w:hAnsi="Times New Roman" w:cs="Times New Roman"/>
          <w:color w:val="0000FF"/>
          <w:sz w:val="28"/>
          <w:szCs w:val="28"/>
          <w:u w:val="single"/>
        </w:rPr>
        <w:t>Приказ</w:t>
      </w:r>
      <w:r w:rsidRPr="00A03AAE">
        <w:rPr>
          <w:rFonts w:ascii="Times New Roman" w:eastAsia="Times New Roman" w:hAnsi="Times New Roman" w:cs="Times New Roman"/>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21. Сумма </w:t>
      </w:r>
      <w:proofErr w:type="spellStart"/>
      <w:r w:rsidRPr="00A03AAE">
        <w:rPr>
          <w:rFonts w:ascii="Times New Roman" w:eastAsia="Times New Roman" w:hAnsi="Times New Roman" w:cs="Times New Roman"/>
          <w:sz w:val="28"/>
          <w:szCs w:val="28"/>
        </w:rPr>
        <w:t>дооценки</w:t>
      </w:r>
      <w:proofErr w:type="spellEnd"/>
      <w:r w:rsidRPr="00A03AAE">
        <w:rPr>
          <w:rFonts w:ascii="Times New Roman" w:eastAsia="Times New Roman" w:hAnsi="Times New Roman" w:cs="Times New Roman"/>
          <w:sz w:val="28"/>
          <w:szCs w:val="28"/>
        </w:rPr>
        <w:t xml:space="preserve"> нематериальных активов в результате переоценки зачисляется в добавочный капитал организации. Сумма </w:t>
      </w:r>
      <w:proofErr w:type="spellStart"/>
      <w:r w:rsidRPr="00A03AAE">
        <w:rPr>
          <w:rFonts w:ascii="Times New Roman" w:eastAsia="Times New Roman" w:hAnsi="Times New Roman" w:cs="Times New Roman"/>
          <w:sz w:val="28"/>
          <w:szCs w:val="28"/>
        </w:rPr>
        <w:t>дооценки</w:t>
      </w:r>
      <w:proofErr w:type="spellEnd"/>
      <w:r w:rsidRPr="00A03AAE">
        <w:rPr>
          <w:rFonts w:ascii="Times New Roman" w:eastAsia="Times New Roman" w:hAnsi="Times New Roman" w:cs="Times New Roman"/>
          <w:sz w:val="28"/>
          <w:szCs w:val="28"/>
        </w:rPr>
        <w:t xml:space="preserve"> нематериального актива, равная сумме его уценки, проведенной в предыдущие отчетные годы и отнесенной на финансовый результат в качестве прочих расходов, зачисляется в финансовый результат в качестве прочих доходов.</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Сумма уценки нематериального актива в результате переоценки относится на финансовый результат в качестве прочих расходов. Сумма уценки нематериального актива относится в уменьшение добавочного капитала организации, образованного за счет сумм </w:t>
      </w:r>
      <w:proofErr w:type="spellStart"/>
      <w:r w:rsidRPr="00A03AAE">
        <w:rPr>
          <w:rFonts w:ascii="Times New Roman" w:eastAsia="Times New Roman" w:hAnsi="Times New Roman" w:cs="Times New Roman"/>
          <w:sz w:val="28"/>
          <w:szCs w:val="28"/>
        </w:rPr>
        <w:t>дооценки</w:t>
      </w:r>
      <w:proofErr w:type="spellEnd"/>
      <w:r w:rsidRPr="00A03AAE">
        <w:rPr>
          <w:rFonts w:ascii="Times New Roman" w:eastAsia="Times New Roman" w:hAnsi="Times New Roman" w:cs="Times New Roman"/>
          <w:sz w:val="28"/>
          <w:szCs w:val="28"/>
        </w:rPr>
        <w:t xml:space="preserve"> этого актива, проведенной в предыдущие отчетные годы. Превышение суммы уценки нематериального актива над суммой его </w:t>
      </w:r>
      <w:proofErr w:type="spellStart"/>
      <w:r w:rsidRPr="00A03AAE">
        <w:rPr>
          <w:rFonts w:ascii="Times New Roman" w:eastAsia="Times New Roman" w:hAnsi="Times New Roman" w:cs="Times New Roman"/>
          <w:sz w:val="28"/>
          <w:szCs w:val="28"/>
        </w:rPr>
        <w:t>дооценки</w:t>
      </w:r>
      <w:proofErr w:type="spellEnd"/>
      <w:r w:rsidRPr="00A03AAE">
        <w:rPr>
          <w:rFonts w:ascii="Times New Roman" w:eastAsia="Times New Roman" w:hAnsi="Times New Roman" w:cs="Times New Roman"/>
          <w:sz w:val="28"/>
          <w:szCs w:val="28"/>
        </w:rPr>
        <w:t>, зачисленной в добавочный капитал организации в результате переоценки, проведенной в предыдущие отчетные годы, относится на финансовый результат в качестве прочих расходов.</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При выбытии нематериального актива сумма его </w:t>
      </w:r>
      <w:proofErr w:type="spellStart"/>
      <w:r w:rsidRPr="00A03AAE">
        <w:rPr>
          <w:rFonts w:ascii="Times New Roman" w:eastAsia="Times New Roman" w:hAnsi="Times New Roman" w:cs="Times New Roman"/>
          <w:sz w:val="28"/>
          <w:szCs w:val="28"/>
        </w:rPr>
        <w:t>дооценки</w:t>
      </w:r>
      <w:proofErr w:type="spellEnd"/>
      <w:r w:rsidRPr="00A03AAE">
        <w:rPr>
          <w:rFonts w:ascii="Times New Roman" w:eastAsia="Times New Roman" w:hAnsi="Times New Roman" w:cs="Times New Roman"/>
          <w:sz w:val="28"/>
          <w:szCs w:val="28"/>
        </w:rPr>
        <w:t xml:space="preserve"> переносится с добавочного капитала организации на счет учета нераспределенной прибыли (непокрытого убытка) организации.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Результаты проведенной по состоянию на конец отчетного года переоценки нематериальных активов подлежат отражению в бухгалтерском учете обособленно.</w:t>
      </w:r>
    </w:p>
    <w:p w:rsidR="00A03AAE" w:rsidRPr="00A03AAE" w:rsidRDefault="00A03AAE" w:rsidP="00A03AAE">
      <w:pPr>
        <w:spacing w:after="48"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(абзац введен </w:t>
      </w:r>
      <w:r w:rsidRPr="00A03AAE">
        <w:rPr>
          <w:rFonts w:ascii="Times New Roman" w:eastAsia="Times New Roman" w:hAnsi="Times New Roman" w:cs="Times New Roman"/>
          <w:color w:val="0000FF"/>
          <w:sz w:val="28"/>
          <w:szCs w:val="28"/>
        </w:rPr>
        <w:t>Приказом</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22. Нематериальные активы могут проверяться на обесценение в порядке, определенном Международными стандартами финансовой отчетности.</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IV. Амортизация нематериальных активов</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23. 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 если иное не установлено настоящим Положением.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По нематериальным активам с неопределенным сроком полезного использования амортизация не начисляется.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24. По нематериальным активам некоммерческих организаций амортизация не начисляется.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25. При принятии нематериального актива к бухгалтерского учету организация определяет срок его полезного использования.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Для отдельных видов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активов этого вида.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26. Определение срока полезного использования нематериального актива производится исходя из:</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срока действия прав организации на результат интеллектуальной деятельности или средство индивидуализации и периода контроля над активом;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ожидаемого срока использования актива, в течение которого организация предполагает получать экономические выгоды (или </w:t>
      </w:r>
      <w:r w:rsidRPr="00A03AAE">
        <w:rPr>
          <w:rFonts w:ascii="Times New Roman" w:eastAsia="Times New Roman" w:hAnsi="Times New Roman" w:cs="Times New Roman"/>
          <w:sz w:val="28"/>
          <w:szCs w:val="28"/>
        </w:rPr>
        <w:lastRenderedPageBreak/>
        <w:t>использовать в деятельности, направленной на достижение целей создания некоммерческой организации).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Срок полезного использования нематериального актива не может превышать срок деятельности организации.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27. 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как изменения в оценочных значениях.</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как изменения в оценочных значениях.</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28. Определение ежемесячной суммы амортизационных отчислений по нематериальному активу производится одним из следующих способов: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линейный способ;</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способ уменьшаемого остатка;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способ списания стоимости пропорционально объему продукции (работ).</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Выбор способа определения амортизации нематериального актива производится организацией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w:t>
      </w:r>
      <w:r w:rsidRPr="00A03AAE">
        <w:rPr>
          <w:rFonts w:ascii="Times New Roman" w:eastAsia="Times New Roman" w:hAnsi="Times New Roman" w:cs="Times New Roman"/>
          <w:sz w:val="28"/>
          <w:szCs w:val="28"/>
        </w:rPr>
        <w:lastRenderedPageBreak/>
        <w:t>амортизационных отчислений по такому активу определяется линейным способом.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29. Ежемесячная сумма амортизационных отчислений рассчитывается: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б) при способе уменьшаемого остатка - 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30. Способ определения амортизации нематериального актива ежегодно проверяется организацией на необходимость его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Возникшие в связи с этим корректировки отражаются в бухгалтерском учете и бухгалтерской отчетности как изменения в оценочных значениях.</w:t>
      </w:r>
    </w:p>
    <w:p w:rsidR="00A03AAE" w:rsidRPr="00A03AAE" w:rsidRDefault="00A03AAE" w:rsidP="00A03AAE">
      <w:pPr>
        <w:spacing w:after="0" w:line="264" w:lineRule="auto"/>
        <w:jc w:val="both"/>
        <w:rPr>
          <w:rFonts w:ascii="Times New Roman" w:eastAsia="Times New Roman" w:hAnsi="Times New Roman" w:cs="Times New Roman"/>
          <w:color w:val="828282"/>
          <w:sz w:val="28"/>
          <w:szCs w:val="28"/>
        </w:rPr>
      </w:pPr>
      <w:r w:rsidRPr="00A03AAE">
        <w:rPr>
          <w:rFonts w:ascii="Times New Roman" w:eastAsia="Times New Roman" w:hAnsi="Times New Roman" w:cs="Times New Roman"/>
          <w:color w:val="828282"/>
          <w:sz w:val="28"/>
          <w:szCs w:val="28"/>
        </w:rPr>
        <w:t xml:space="preserve">(в ред. </w:t>
      </w:r>
      <w:r w:rsidRPr="00A03AAE">
        <w:rPr>
          <w:rFonts w:ascii="Times New Roman" w:eastAsia="Times New Roman" w:hAnsi="Times New Roman" w:cs="Times New Roman"/>
          <w:color w:val="0000FF"/>
          <w:sz w:val="28"/>
          <w:szCs w:val="28"/>
        </w:rPr>
        <w:t>Приказа</w:t>
      </w:r>
      <w:r w:rsidRPr="00A03AAE">
        <w:rPr>
          <w:rFonts w:ascii="Times New Roman" w:eastAsia="Times New Roman" w:hAnsi="Times New Roman" w:cs="Times New Roman"/>
          <w:color w:val="828282"/>
          <w:sz w:val="28"/>
          <w:szCs w:val="28"/>
        </w:rPr>
        <w:t xml:space="preserve"> Минфина РФ от 24.12.2010 N 186н)</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31. 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 течение срока полезного использования нематериальных активов начисление амортизационных отчислений не приостанавливается.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32. Амортизационные отчисления по нематериальным активам прекращаются с первого числа месяца, следующего за месяцем полного погашения стоимости или списания этого актива с бухгалтерского учета.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33. 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V. Списание нематериальных активов</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34. 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35. 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36. 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VI. Учет операций, связанных с предоставлением</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(получением) права использования нематериальных активов</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37. Отражение в бухгалтерском учете организации операций, связанных с предоставлением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 заключенных в соответствии с установленным </w:t>
      </w:r>
      <w:r w:rsidRPr="00A03AAE">
        <w:rPr>
          <w:rFonts w:ascii="Times New Roman" w:eastAsia="Times New Roman" w:hAnsi="Times New Roman" w:cs="Times New Roman"/>
          <w:color w:val="0000FF"/>
          <w:sz w:val="28"/>
          <w:szCs w:val="28"/>
          <w:u w:val="single"/>
        </w:rPr>
        <w:t>законодательством</w:t>
      </w:r>
      <w:r w:rsidRPr="00A03AAE">
        <w:rPr>
          <w:rFonts w:ascii="Times New Roman" w:eastAsia="Times New Roman" w:hAnsi="Times New Roman" w:cs="Times New Roman"/>
          <w:sz w:val="28"/>
          <w:szCs w:val="28"/>
        </w:rPr>
        <w:t xml:space="preserve"> порядком.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38. Нематериальные активы, предоставленные правообладателем (лицензиаром) в пользование (при сохранении исключительных прав на результаты интеллектуальной деятельности или средства индивидуализации), не списываются и подлежат обособленному отражению в бухгалтерском учете у правообладателя (лицензиара).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Начисление амортизации по нематериальным активам, предоставленным в пользование, производится правообладателем (лицензиаром).</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39. Нематериальные активы, полученные в пользование, учитываются пользователем (лицензиатом) на </w:t>
      </w:r>
      <w:proofErr w:type="spellStart"/>
      <w:r w:rsidRPr="00A03AAE">
        <w:rPr>
          <w:rFonts w:ascii="Times New Roman" w:eastAsia="Times New Roman" w:hAnsi="Times New Roman" w:cs="Times New Roman"/>
          <w:sz w:val="28"/>
          <w:szCs w:val="28"/>
        </w:rPr>
        <w:t>забалансовом</w:t>
      </w:r>
      <w:proofErr w:type="spellEnd"/>
      <w:r w:rsidRPr="00A03AAE">
        <w:rPr>
          <w:rFonts w:ascii="Times New Roman" w:eastAsia="Times New Roman" w:hAnsi="Times New Roman" w:cs="Times New Roman"/>
          <w:sz w:val="28"/>
          <w:szCs w:val="28"/>
        </w:rPr>
        <w:t xml:space="preserve"> счете в оценке, определяемой исходя из размера вознаграждения, установленного в договоре.</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При этом 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пользователем (лицензиатом)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(лицензиата) как расходы будущих периодов и подлежат списанию в течение срока действия договора.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VII. Раскрытие информации в бухгалтерской отчетности</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40. В составе информации об учетной политике организации подлежит раскрытию, как минимум, следующая информация: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способы оценки нематериальных активов, приобретенных не за денежные средства;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принятые организацией сроки полезного использования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способы определения амортизации нематериальных активов, а также установленный коэффициент при начислении амортизации способом уменьшаемого остатка;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изменения сроков полезного использования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изменения способов определения амортизации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41. В бухгалтерской отчетности организации подлежит раскрытию, как минимум, следующая информация по отдельным видам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фактическая (первоначальная) стоимость или текущая рыночная стоимость с учетом сумм начисленной амортизации и убытков от обесценения на начало и конец отчетного года;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стоимость списания и поступления нематериальных активов, иные случаи движения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сумма начисленной амортизации по нематериальным активам с определенным сроком полезного использования;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фактическая (первоначальная) 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стоимость переоцененных нематериальных активов, а также фактическая (первоначальная) стоимость, суммы </w:t>
      </w:r>
      <w:proofErr w:type="spellStart"/>
      <w:r w:rsidRPr="00A03AAE">
        <w:rPr>
          <w:rFonts w:ascii="Times New Roman" w:eastAsia="Times New Roman" w:hAnsi="Times New Roman" w:cs="Times New Roman"/>
          <w:sz w:val="28"/>
          <w:szCs w:val="28"/>
        </w:rPr>
        <w:t>дооценки</w:t>
      </w:r>
      <w:proofErr w:type="spellEnd"/>
      <w:r w:rsidRPr="00A03AAE">
        <w:rPr>
          <w:rFonts w:ascii="Times New Roman" w:eastAsia="Times New Roman" w:hAnsi="Times New Roman" w:cs="Times New Roman"/>
          <w:sz w:val="28"/>
          <w:szCs w:val="28"/>
        </w:rPr>
        <w:t xml:space="preserve"> и уценки таких нематериальных активов;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стоимость нематериальных активов, подверженных обесценению в отчетном году, а также признанный убыток от обесценения;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lastRenderedPageBreak/>
        <w:t>наименование, фактическая (первоначальная) 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При раскрытии в бухгалтерской отчетности информации о нематериальных активах отдельно раскрывается информация о нематериальных активах, созданных самой организацией.</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VIII. Деловая репутация</w:t>
      </w:r>
    </w:p>
    <w:p w:rsidR="00A03AAE" w:rsidRPr="00A03AAE" w:rsidRDefault="00A03AAE" w:rsidP="00A03AAE">
      <w:pPr>
        <w:spacing w:after="0" w:line="240" w:lineRule="auto"/>
        <w:jc w:val="center"/>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42. 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предприятия как имущественного комплекса (в целом или его части), и суммой всех активов и обязательств по бухгалтерскому балансу на дату его покупки (приобретения).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43. 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44. Приобретенная деловая репутация амортизируется в течение двадцати лет (но не более срока деятельности организации).</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xml:space="preserve">Амортизационные отчисления по положительной деловой репутации определяются линейным способом в соответствии с </w:t>
      </w:r>
      <w:r w:rsidRPr="00A03AAE">
        <w:rPr>
          <w:rFonts w:ascii="Times New Roman" w:eastAsia="Times New Roman" w:hAnsi="Times New Roman" w:cs="Times New Roman"/>
          <w:color w:val="0000FF"/>
          <w:sz w:val="28"/>
          <w:szCs w:val="28"/>
          <w:u w:val="single"/>
        </w:rPr>
        <w:t>пунктом 29</w:t>
      </w:r>
      <w:r w:rsidRPr="00A03AAE">
        <w:rPr>
          <w:rFonts w:ascii="Times New Roman" w:eastAsia="Times New Roman" w:hAnsi="Times New Roman" w:cs="Times New Roman"/>
          <w:sz w:val="28"/>
          <w:szCs w:val="28"/>
        </w:rPr>
        <w:t xml:space="preserve"> настоящего Положения.</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45. Отрицательная деловая репутация в полной сумме относится на финансовые результаты организации в качестве прочих доходов.</w:t>
      </w:r>
    </w:p>
    <w:p w:rsidR="00A03AAE" w:rsidRPr="00A03AAE" w:rsidRDefault="00A03AAE" w:rsidP="00A03AAE">
      <w:pPr>
        <w:spacing w:after="0" w:line="312" w:lineRule="auto"/>
        <w:ind w:firstLine="547"/>
        <w:jc w:val="both"/>
        <w:rPr>
          <w:rFonts w:ascii="Times New Roman" w:eastAsia="Times New Roman" w:hAnsi="Times New Roman" w:cs="Times New Roman"/>
          <w:sz w:val="28"/>
          <w:szCs w:val="28"/>
        </w:rPr>
      </w:pPr>
      <w:r w:rsidRPr="00A03AAE">
        <w:rPr>
          <w:rFonts w:ascii="Times New Roman" w:eastAsia="Times New Roman" w:hAnsi="Times New Roman" w:cs="Times New Roman"/>
          <w:sz w:val="28"/>
          <w:szCs w:val="28"/>
        </w:rPr>
        <w:t> </w:t>
      </w:r>
    </w:p>
    <w:p w:rsidR="006A0AB6" w:rsidRPr="00A03AAE" w:rsidRDefault="006A0AB6">
      <w:pPr>
        <w:rPr>
          <w:rFonts w:ascii="Times New Roman" w:hAnsi="Times New Roman" w:cs="Times New Roman"/>
          <w:sz w:val="28"/>
          <w:szCs w:val="28"/>
        </w:rPr>
      </w:pPr>
    </w:p>
    <w:sectPr w:rsidR="006A0AB6" w:rsidRPr="00A0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03AAE"/>
    <w:rsid w:val="006A0AB6"/>
    <w:rsid w:val="00A0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984625">
      <w:bodyDiv w:val="1"/>
      <w:marLeft w:val="0"/>
      <w:marRight w:val="0"/>
      <w:marTop w:val="0"/>
      <w:marBottom w:val="0"/>
      <w:divBdr>
        <w:top w:val="none" w:sz="0" w:space="0" w:color="auto"/>
        <w:left w:val="none" w:sz="0" w:space="0" w:color="auto"/>
        <w:bottom w:val="none" w:sz="0" w:space="0" w:color="auto"/>
        <w:right w:val="none" w:sz="0" w:space="0" w:color="auto"/>
      </w:divBdr>
      <w:divsChild>
        <w:div w:id="2077122747">
          <w:marLeft w:val="0"/>
          <w:marRight w:val="0"/>
          <w:marTop w:val="0"/>
          <w:marBottom w:val="0"/>
          <w:divBdr>
            <w:top w:val="none" w:sz="0" w:space="0" w:color="auto"/>
            <w:left w:val="none" w:sz="0" w:space="0" w:color="auto"/>
            <w:bottom w:val="none" w:sz="0" w:space="0" w:color="auto"/>
            <w:right w:val="none" w:sz="0" w:space="0" w:color="auto"/>
          </w:divBdr>
        </w:div>
        <w:div w:id="2068382729">
          <w:marLeft w:val="0"/>
          <w:marRight w:val="0"/>
          <w:marTop w:val="0"/>
          <w:marBottom w:val="0"/>
          <w:divBdr>
            <w:top w:val="none" w:sz="0" w:space="0" w:color="auto"/>
            <w:left w:val="none" w:sz="0" w:space="0" w:color="auto"/>
            <w:bottom w:val="none" w:sz="0" w:space="0" w:color="auto"/>
            <w:right w:val="none" w:sz="0" w:space="0" w:color="auto"/>
          </w:divBdr>
        </w:div>
        <w:div w:id="1450781404">
          <w:marLeft w:val="0"/>
          <w:marRight w:val="0"/>
          <w:marTop w:val="0"/>
          <w:marBottom w:val="0"/>
          <w:divBdr>
            <w:top w:val="none" w:sz="0" w:space="0" w:color="auto"/>
            <w:left w:val="none" w:sz="0" w:space="0" w:color="auto"/>
            <w:bottom w:val="none" w:sz="0" w:space="0" w:color="auto"/>
            <w:right w:val="none" w:sz="0" w:space="0" w:color="auto"/>
          </w:divBdr>
        </w:div>
        <w:div w:id="1446538477">
          <w:marLeft w:val="0"/>
          <w:marRight w:val="0"/>
          <w:marTop w:val="0"/>
          <w:marBottom w:val="0"/>
          <w:divBdr>
            <w:top w:val="none" w:sz="0" w:space="0" w:color="auto"/>
            <w:left w:val="none" w:sz="0" w:space="0" w:color="auto"/>
            <w:bottom w:val="none" w:sz="0" w:space="0" w:color="auto"/>
            <w:right w:val="none" w:sz="0" w:space="0" w:color="auto"/>
          </w:divBdr>
        </w:div>
        <w:div w:id="1614051763">
          <w:marLeft w:val="0"/>
          <w:marRight w:val="0"/>
          <w:marTop w:val="0"/>
          <w:marBottom w:val="48"/>
          <w:divBdr>
            <w:top w:val="none" w:sz="0" w:space="0" w:color="auto"/>
            <w:left w:val="none" w:sz="0" w:space="0" w:color="auto"/>
            <w:bottom w:val="none" w:sz="0" w:space="0" w:color="auto"/>
            <w:right w:val="none" w:sz="0" w:space="0" w:color="auto"/>
          </w:divBdr>
        </w:div>
        <w:div w:id="59595643">
          <w:marLeft w:val="0"/>
          <w:marRight w:val="0"/>
          <w:marTop w:val="0"/>
          <w:marBottom w:val="0"/>
          <w:divBdr>
            <w:top w:val="none" w:sz="0" w:space="0" w:color="auto"/>
            <w:left w:val="none" w:sz="0" w:space="0" w:color="auto"/>
            <w:bottom w:val="none" w:sz="0" w:space="0" w:color="auto"/>
            <w:right w:val="none" w:sz="0" w:space="0" w:color="auto"/>
          </w:divBdr>
        </w:div>
        <w:div w:id="524445826">
          <w:marLeft w:val="0"/>
          <w:marRight w:val="0"/>
          <w:marTop w:val="0"/>
          <w:marBottom w:val="0"/>
          <w:divBdr>
            <w:top w:val="none" w:sz="0" w:space="0" w:color="auto"/>
            <w:left w:val="none" w:sz="0" w:space="0" w:color="auto"/>
            <w:bottom w:val="none" w:sz="0" w:space="0" w:color="auto"/>
            <w:right w:val="none" w:sz="0" w:space="0" w:color="auto"/>
          </w:divBdr>
        </w:div>
        <w:div w:id="164242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4108</Words>
  <Characters>23417</Characters>
  <Application>Microsoft Office Word</Application>
  <DocSecurity>0</DocSecurity>
  <Lines>195</Lines>
  <Paragraphs>54</Paragraphs>
  <ScaleCrop>false</ScaleCrop>
  <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3</cp:revision>
  <dcterms:created xsi:type="dcterms:W3CDTF">2015-10-19T06:23:00Z</dcterms:created>
  <dcterms:modified xsi:type="dcterms:W3CDTF">2015-10-19T06:24:00Z</dcterms:modified>
</cp:coreProperties>
</file>