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FA" w:rsidRPr="00EB3D60" w:rsidRDefault="00BE5AFA" w:rsidP="00BE5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ФИНАНСОВ РОССИЙСКОЙ ФЕДЕРАЦИИ</w:t>
      </w:r>
    </w:p>
    <w:p w:rsidR="00BE5AFA" w:rsidRPr="00EB3D60" w:rsidRDefault="00BE5AFA" w:rsidP="00BE5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AFA" w:rsidRPr="00EB3D60" w:rsidRDefault="00BE5AFA" w:rsidP="00BE5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BE5AFA" w:rsidRPr="00EB3D60" w:rsidRDefault="00BE5AFA" w:rsidP="00BE5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b/>
          <w:bCs/>
          <w:sz w:val="28"/>
          <w:szCs w:val="28"/>
        </w:rPr>
        <w:t>от 30 марта 2001 г. N 26н</w:t>
      </w:r>
    </w:p>
    <w:p w:rsidR="00BE5AFA" w:rsidRPr="00EB3D60" w:rsidRDefault="00BE5AFA" w:rsidP="00BE5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AFA" w:rsidRPr="00EB3D60" w:rsidRDefault="00BE5AFA" w:rsidP="00BE5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ПО БУХГАЛТЕРСКОМУ УЧЕТУ</w:t>
      </w:r>
    </w:p>
    <w:p w:rsidR="00BE5AFA" w:rsidRPr="00EB3D60" w:rsidRDefault="00BE5AFA" w:rsidP="00BE5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b/>
          <w:bCs/>
          <w:sz w:val="28"/>
          <w:szCs w:val="28"/>
        </w:rPr>
        <w:t>"УЧЕТ ОСНОВНЫХ СРЕДСТВ" ПБУ 6/01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Программы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реформирования бухгалтерского учета в соответствии с международными стандартами финансовой отчетности, утвержденной Постановлением Правительства Российской Федерации от 6 марта 1998 г. N 283 (Собрание законодательства Российской Федерации, 1998, N 11, ст. 1290), приказываю: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Положение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"Учет основных средств" ПБУ 6/01.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</w:t>
      </w:r>
      <w:r w:rsidRPr="00EB3D60">
        <w:rPr>
          <w:rFonts w:ascii="Times New Roman" w:eastAsia="Times New Roman" w:hAnsi="Times New Roman" w:cs="Times New Roman"/>
          <w:color w:val="B5B2FF"/>
          <w:sz w:val="28"/>
          <w:szCs w:val="28"/>
          <w:u w:val="single"/>
        </w:rPr>
        <w:t>Приказ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Российской Федерации от 3 сентября 1997 г. N 65н "Об утверждении Положения по бухгалтерскому учету "Учет основных средств" ПБУ 6/97" (Приказ зарегистрирован в Министерстве юстиции Российской Федерации от 13 января 1998 г. N 1451) и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 1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нормативные правовые акты по бухгалтерскому учету, утвержденных Приказом Министерства финансов Российской Федерации от 24 марта 2000 г. N 31н (Приказ зарегистрирован в Министерстве юстиции Российской Федерации 26 апреля 2000 г., регистрационный номер 2209).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3. Ввести в действие настоящий Приказ начиная с бухгалтерской отчетности 2001 года.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Министр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А.Л.КУДРИН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от 30.03.2001 N 26н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b/>
          <w:bCs/>
          <w:sz w:val="28"/>
          <w:szCs w:val="28"/>
        </w:rPr>
        <w:t>ПО БУХГАЛТЕРСКОМУ УЧЕТУ "УЧЕТ ОСНОВНЫХ СРЕДСТВ"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b/>
          <w:bCs/>
          <w:sz w:val="28"/>
          <w:szCs w:val="28"/>
        </w:rPr>
        <w:t>ПБУ 6/01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устанавливает правила формирования в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бухгалтерском учете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об основных средствах организации. Под организацией в дальнейшем понимается юридическое лицо по законодательству Российской Федерации (за исключением кредитных организаций и государственных (муниципальных) учреждений).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25.10.2010 N 132н)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2. Исключен. -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Приказ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Минфина РФ от 12.12.2005 N 147н.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3. Настоящее Положение не применяется в отношении: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машин, оборудования и иных аналогичных предметов, числящихся как готовые изделия на складах организаций-изготовителей, как товары - на складах организаций, осуществляющих торговую деятельность;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предметов, сданных в монтаж или подлежащих монтажу, находящихся в пути;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капитальных и финансовых вложений.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4. Актив принимается организацией к бухгалтерскому учету в качестве основных средств, если одновременно выполняются следующие условия: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а) объект предназначен для использования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lastRenderedPageBreak/>
        <w:t>б) объект предназначен для использования в течение длительного времени, т.е. срока продолжительностью свыше 12 месяцев или обычного операционного цикла, если он превышает 12 месяцев;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в) организация не предполагает последующую перепродажу данного объекта;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г) объект способен приносить организации экономические выгоды (доход) в будущем.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Некоммерческая организация принимает объект к бухгалтерскому учету в качестве основных средств, если он предназначен для использования в деятельности, направленной на достижение целей создания данной некоммерческой организации (в т.ч. в предпринимательской деятельности, осуществляемой в соответствии с законодательством Российской Федерации), для управленческих нужд некоммерческой организации, а также если выполняются условия, установленные в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подпунктах "б"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"в"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Сроком полезного использования является период, в течение которого использование объекта основных средств приносит экономические выгоды (доход) организации. Для отдельных групп основных средств срок полезного использования определяется исходя из количества продукции (объема работ в натуральном выражении), ожидаемого к получению в результате использования этого объекта.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(п. 4 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5. К основным средствам относятся: 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соответствующие объекты.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В составе основных средств учитываются также: капитальные вложения на коренное улучшение земель (осушительные, оросительные и другие мелиоративные работы); капитальные вложения в арендованные объекты основных средств; земельные участки, объекты природопользования (вода, недра и другие природные ресурсы).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Основные средства, предназначенные исключительно для предоставления организацией за плату во временное владение и пользование 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lastRenderedPageBreak/>
        <w:t>или во временное пользование с целью получения дохода, отражаются в бухгалтерском учете и бухгалтерской отчетности в составе доходных вложений в материальные ценности.</w:t>
      </w:r>
    </w:p>
    <w:p w:rsidR="00BE5AFA" w:rsidRPr="00EB3D60" w:rsidRDefault="00BE5AFA" w:rsidP="00BE5AFA">
      <w:pPr>
        <w:spacing w:after="48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(абзац введен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Приказом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Активы, в отношении которых выполняются условия, предусмотренные в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пункте 4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и стоимостью в пределах лимита, установленного в учетной политике организации, но не более 40 000 рублей за единицу, могут отражаться в бухгалтерском учете и бухгалтерской отчетности в составе материально-производственных запасов.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(абзац введен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Приказом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147н, 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24.12.2010 N 186н)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6. Единицей бухгалтерского учета основных средств является инвентарный объект.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 сочлененных предметов, представляющих собой единое целое и предназначенный для выполнения определенной работы. Комплекс конструктивно сочлененных предметов - это один или несколько предметов одного или разного назначения, имеющие общие приспособления и принадлежности, общее управление, смонтированные на одном фундаменте, в результате чего каждый входящий в комплекс предмет может выполнять свои функции только в составе комплекса, а не самостоятельно.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В случае наличия у одного объекта нескольких частей, сроки полезного использования которых существенно отличаются, каждая такая часть учитывается как самостоятельный инвентарный объект.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Объект основных средств, находящийся в собственности двух или нескольких организаций, отражается каждой организацией в составе основных средств соразмерно ее доле в общей собственности.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II. Оценка основных средств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7. Основные средства принимаются к бухгалтерскому учету по первоначальной стоимости.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8. Первоначальной стоимостью основных средств, приобретенных за плату, признается сумма фактических затрат организации на приобретение, сооружение и изготовление, за исключением налога на добавленную стоимость и иных возмещаемых налогов (кроме случаев, предусмотренных законодательством Российской Федерации).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Фактическими затратами на приобретение, сооружение и изготовление основных средств являются: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суммы, уплачиваемые в соответствии с договором поставщику (продавцу), а также суммы, уплачиваемые за доставку объекта и приведение его в состояние, пригодное для использования;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суммы, уплачиваемые организациям за осуществление работ по договору строительного подряда и иным договорам;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суммы, уплачиваемые организациям за информационные и консультационные услуги, связанные с приобретением основных средств;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абзац исключен. -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Приказ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Минфина РФ от 12.12.2005 N 147н;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таможенные пошлины и таможенные сборы;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невозмещаемые налоги, государственная пошлина, уплачиваемые в связи с приобретением объекта основных средств;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вознаграждения, уплачиваемые посреднической организации, через которую приобретен объект основных средств;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иные затраты, непосредственно связанные с приобретением, сооружением и изготовлением объекта основных средств.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Не включаются в фактические затраты на приобретение, сооружение или изготовление основных средств общехозяйственные и иные аналогичные расходы, кроме случаев, когда они непосредственно связаны с приобретением, сооружением или изготовлением основных средств.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Абзац исключен. -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Приказ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Минфина РФ от 27.11.2006 N 156н.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9. Первоначальной стоимостью основных средств, внесенных в счет вклада в уставный (складочный) капитал организации, признается их денежная оценка, согласованная учредителями (участниками) организации, если иное не предусмотрено законодательством Российской Федерации.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10. Первоначальной стоимостью основных средств, полученных организацией по договору дарения (безвозмездно), признается их текущая рыночная стоимость на дату принятия к бухгалтерскому учету в качестве вложений во </w:t>
      </w:r>
      <w:proofErr w:type="spellStart"/>
      <w:r w:rsidRPr="00EB3D60">
        <w:rPr>
          <w:rFonts w:ascii="Times New Roman" w:eastAsia="Times New Roman" w:hAnsi="Times New Roman" w:cs="Times New Roman"/>
          <w:sz w:val="28"/>
          <w:szCs w:val="28"/>
        </w:rPr>
        <w:t>внеоборотные</w:t>
      </w:r>
      <w:proofErr w:type="spellEnd"/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активы.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11. Первоначальной стоимостью основных средств, полученных по договорам, предусматривающим исполнение обязательств (оплату) </w:t>
      </w:r>
      <w:proofErr w:type="spellStart"/>
      <w:r w:rsidRPr="00EB3D60">
        <w:rPr>
          <w:rFonts w:ascii="Times New Roman" w:eastAsia="Times New Roman" w:hAnsi="Times New Roman" w:cs="Times New Roman"/>
          <w:sz w:val="28"/>
          <w:szCs w:val="28"/>
        </w:rPr>
        <w:t>неденежными</w:t>
      </w:r>
      <w:proofErr w:type="spellEnd"/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средствами, признается стоимость ценностей, переданных или подлежащих передаче организацией. Стоимость ценностей, переданных или подлежащих передаче организацией, устанавливается исходя из цены, по которой в сравнимых обстоятельствах обычно организация определяет стоимость аналогичных ценностей.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установить стоимость ценностей, переданных или подлежащих передаче организацией, стоимость основных средств, полученных организацией по договорам, предусматривающим исполнение обязательств (оплату) </w:t>
      </w:r>
      <w:proofErr w:type="spellStart"/>
      <w:r w:rsidRPr="00EB3D60">
        <w:rPr>
          <w:rFonts w:ascii="Times New Roman" w:eastAsia="Times New Roman" w:hAnsi="Times New Roman" w:cs="Times New Roman"/>
          <w:sz w:val="28"/>
          <w:szCs w:val="28"/>
        </w:rPr>
        <w:t>неденежными</w:t>
      </w:r>
      <w:proofErr w:type="spellEnd"/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средствами, определяется исходя из стоимости, по которой в сравнимых обстоятельствах приобретаются аналогичные объекты основных средств.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12. Первоначальная стоимость объектов основных средств, принимаемых к бухгалтерскому учету в соответствии с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пунктами 9,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10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11,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применительно к порядку, приведенному в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пункте 8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(п. 12 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13. Капитальные вложения в многолетние насаждения, на коренное улучшение земель включаются в состав основных средств ежегодно в сумме затрат, относящихся к принятым в отчетном году в эксплуатацию площадям, независимо от даты окончания всего комплекса работ.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14. Стоимость основных средств, в которой они приняты к бухгалтерскому учету, не подлежит изменению, кроме случаев, установленных настоящим и иными положениями (стандартами) по бухгалтерскому учету.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24.12.2010 N 186н)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Изменение первоначальной стоимости основных средств, в которой они приняты к бухгалтерскому учету, допускается в случаях достройки, дооборудования, реконструкции, модернизации, частичной ликвидации и переоценки объектов основных средств.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18.05.2002 N 45н)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15. Коммерческая организация может не чаще одного раза в год (на конец отчетного года) переоценивать группы однородных объектов основных средств по текущей (восстановительной) стоимости.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Приказов Минфина РФ от 12.12.2005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N 147н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, от 24.12.2010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N 186н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При принятии решения о переоценке по таким основным средствам следует учитывать, что в последующем они переоцениваются регулярно, чтобы стоимость основных средств, по которой они отражаются в бухгалтерском учете и отчетности, существенно не отличалась от текущей (восстановительной) стоимости.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Переоценка объекта основных средств производится путем пересчета его первоначальной стоимости или текущей (восстановительной) стоимости, если данный объект переоценивался ранее, и суммы амортизации, начисленной за все время использования объекта.</w:t>
      </w:r>
    </w:p>
    <w:p w:rsidR="00BE5AFA" w:rsidRPr="00EB3D60" w:rsidRDefault="00BE5AFA" w:rsidP="00BE5AFA">
      <w:pPr>
        <w:spacing w:after="48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(абзац введен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Приказом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18.05.2002 N 45н)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Результаты проведенной по состоянию на конец отчетного года переоценки объектов основных средств подлежат отражению в бухгалтерском учете обособленно.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(абзац введен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Приказом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18.05.2002 N 45н, 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24.12.2010 N 186н)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proofErr w:type="spellStart"/>
      <w:r w:rsidRPr="00EB3D60">
        <w:rPr>
          <w:rFonts w:ascii="Times New Roman" w:eastAsia="Times New Roman" w:hAnsi="Times New Roman" w:cs="Times New Roman"/>
          <w:sz w:val="28"/>
          <w:szCs w:val="28"/>
        </w:rPr>
        <w:t>дооценки</w:t>
      </w:r>
      <w:proofErr w:type="spellEnd"/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объекта основных средств в результате переоценки зачисляется в добавочный капитал организации. Сумма </w:t>
      </w:r>
      <w:proofErr w:type="spellStart"/>
      <w:r w:rsidRPr="00EB3D60">
        <w:rPr>
          <w:rFonts w:ascii="Times New Roman" w:eastAsia="Times New Roman" w:hAnsi="Times New Roman" w:cs="Times New Roman"/>
          <w:sz w:val="28"/>
          <w:szCs w:val="28"/>
        </w:rPr>
        <w:t>дооценки</w:t>
      </w:r>
      <w:proofErr w:type="spellEnd"/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объекта основных средств, равная сумме уценки его, проведенной в предыдущие отчетные периоды и отнесенной на финансовый результат в качестве прочих расходов, зачисляется в финансовый результат в качестве прочих доходов.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Приказов Минфина РФ от 12.12.2005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N 147н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, от 24.12.2010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N 186н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Сумма уценки объекта основных средств в результате переоценки относится на финансовый результат в качестве прочих расходов. Сумма уценки объекта основных средств относится в уменьшение добавочного капитала организации, образованного за счет сумм </w:t>
      </w:r>
      <w:proofErr w:type="spellStart"/>
      <w:r w:rsidRPr="00EB3D60">
        <w:rPr>
          <w:rFonts w:ascii="Times New Roman" w:eastAsia="Times New Roman" w:hAnsi="Times New Roman" w:cs="Times New Roman"/>
          <w:sz w:val="28"/>
          <w:szCs w:val="28"/>
        </w:rPr>
        <w:t>дооценки</w:t>
      </w:r>
      <w:proofErr w:type="spellEnd"/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этого объекта, проведенной в предыдущие отчетные периоды. Превышение суммы уценки объекта над суммой </w:t>
      </w:r>
      <w:proofErr w:type="spellStart"/>
      <w:r w:rsidRPr="00EB3D60">
        <w:rPr>
          <w:rFonts w:ascii="Times New Roman" w:eastAsia="Times New Roman" w:hAnsi="Times New Roman" w:cs="Times New Roman"/>
          <w:sz w:val="28"/>
          <w:szCs w:val="28"/>
        </w:rPr>
        <w:t>дооценки</w:t>
      </w:r>
      <w:proofErr w:type="spellEnd"/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его, зачисленной в добавочный капитал организации в результате переоценки, проведенной в предыдущие отчетные периоды, относится на финансовый результат в качестве прочих расходов.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Приказов Минфина РФ от 18.05.2002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N 45н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, от 24.12.2010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N 186н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При выбытии объекта основных средств сумма его </w:t>
      </w:r>
      <w:proofErr w:type="spellStart"/>
      <w:r w:rsidRPr="00EB3D60">
        <w:rPr>
          <w:rFonts w:ascii="Times New Roman" w:eastAsia="Times New Roman" w:hAnsi="Times New Roman" w:cs="Times New Roman"/>
          <w:sz w:val="28"/>
          <w:szCs w:val="28"/>
        </w:rPr>
        <w:t>дооценки</w:t>
      </w:r>
      <w:proofErr w:type="spellEnd"/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переносится с добавочного капитала организации в нераспределенную прибыль организации.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16. Исключен. -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Приказ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Минфина РФ от 27.11.2006 N 156н.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III. Амортизация основных средств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proofErr w:type="spellStart"/>
      <w:r w:rsidRPr="00EB3D60">
        <w:rPr>
          <w:rFonts w:ascii="Times New Roman" w:eastAsia="Times New Roman" w:hAnsi="Times New Roman" w:cs="Times New Roman"/>
          <w:color w:val="392C69"/>
          <w:sz w:val="28"/>
          <w:szCs w:val="28"/>
        </w:rPr>
        <w:t>КонсультантПлюс</w:t>
      </w:r>
      <w:proofErr w:type="spellEnd"/>
      <w:r w:rsidRPr="00EB3D60">
        <w:rPr>
          <w:rFonts w:ascii="Times New Roman" w:eastAsia="Times New Roman" w:hAnsi="Times New Roman" w:cs="Times New Roman"/>
          <w:color w:val="392C69"/>
          <w:sz w:val="28"/>
          <w:szCs w:val="28"/>
        </w:rPr>
        <w:t>: примечание.</w:t>
      </w:r>
    </w:p>
    <w:p w:rsidR="00BE5AFA" w:rsidRPr="00EB3D60" w:rsidRDefault="00BE5AFA" w:rsidP="00BE5AFA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См. также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Положение</w:t>
      </w:r>
      <w:r w:rsidRPr="00EB3D60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 о порядке начисления амортизационных отчислений по основным фондам в народном хозяйстве (утв. Госпланом СССР, Минфином СССР, Госбанком СССР, </w:t>
      </w:r>
      <w:proofErr w:type="spellStart"/>
      <w:r w:rsidRPr="00EB3D60">
        <w:rPr>
          <w:rFonts w:ascii="Times New Roman" w:eastAsia="Times New Roman" w:hAnsi="Times New Roman" w:cs="Times New Roman"/>
          <w:color w:val="392C69"/>
          <w:sz w:val="28"/>
          <w:szCs w:val="28"/>
        </w:rPr>
        <w:t>Госкомцен</w:t>
      </w:r>
      <w:proofErr w:type="spellEnd"/>
      <w:r w:rsidRPr="00EB3D60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 СССР, Госкомстатом СССР, Госстроем СССР 29.12.1990 N ВГ-21-Д/144/17-24/4-73 (N ВГ-9-Д)).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17. Стоимость объектов основных средств погашается посредством начисления амортизации, если иное не установлено настоящим Положением.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По используемым для реализации законодательства Российской Федерации о мобилизационной подготовке и мобилизации объектам основных средств, которые законсервированы и не используются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пользование, амортизация не начисляется.</w:t>
      </w:r>
    </w:p>
    <w:p w:rsidR="00BE5AFA" w:rsidRPr="00EB3D60" w:rsidRDefault="00BE5AFA" w:rsidP="00BE5AFA">
      <w:pPr>
        <w:spacing w:after="48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(абзац введен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Приказом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По объектам основных средств некоммерческих организаций амортизация не начисляется. По ним на </w:t>
      </w:r>
      <w:proofErr w:type="spellStart"/>
      <w:r w:rsidRPr="00EB3D60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счете производится обобщение информации о суммах износа, начисляемого линейным способом применительно к порядку, приведенному в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пункте 19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lastRenderedPageBreak/>
        <w:t>По объектам жилищного фонда, которые учитываются в составе доходных вложений в материальные ценности, амортизация начисляется в общеустановленном порядке.</w:t>
      </w:r>
    </w:p>
    <w:p w:rsidR="00BE5AFA" w:rsidRPr="00EB3D60" w:rsidRDefault="00BE5AFA" w:rsidP="00BE5AFA">
      <w:pPr>
        <w:spacing w:after="48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(абзац введен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Приказом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Не подлежат амортизации объекты основных средств, потребительские свойства которых с течением времени не изменяются (земельные участки; объекты природопользования; объекты, отнесенные к музейным предметам и музейным коллекциям, и др.).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18. Начисление амортизации объектов основных средств производится одним из следующих способов: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линейный способ;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способ уменьшаемого остатка;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способ списания стоимости по сумме чисел лет срока полезного использования;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способ списания стоимости пропорционально объему продукции (работ).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объектов, входящих в эту группу.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Абзац исключен. -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Приказ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Минфина РФ от 12.12.2005 N 147н.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19. Годовая сумма амортизационных отчислений определяется: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при линейном способе - исходя из первоначальной стоимости или (текущей (восстановительной) стоимости (в случае проведения переоценки) объекта основных средств и нормы амортизации, исчисленной исходя из срока полезного использования этого объекта;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при способе уменьшаемого остатка - исходя из остаточной стоимости объекта основных средств на начало отчетного года и нормы амортизации, исчисленной исходя из срока полезного использования этого объекта и коэффициента не выше 3, установленного организацией;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при способе списания стоимости по сумме чисел лет срока полезного использования - исходя из первоначальной стоимости или (текущей (восстановительной) стоимости (в случае проведения переоценки) объекта основных средств и соотношения, в числителе которого - число лет, остающихся до конца срока полезного использования объекта, а в знаменателе - сумма чисел лет срока полезного использования объекта.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1/12 годовой суммы.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По основным средствам, используемым в организациях с сезонным характером производства, годовая сумма амортизационных отчислений по основным средствам начисляется равномерно в течение периода работы организации в отчетном году.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При способе списания стоимости пропорционально объему продукции (работ) начисление амортизационных отчислений производится исходя из натурального показателя объема продукции (работ) в отчетном периоде и соотношения первоначальной стоимости объекта основных средств и предполагаемого объема продукции (работ) за весь срок полезного использования объекта основных средств.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20. Срок полезного использования объекта основных средств определяется организацией при принятии объекта к бухгалтерскому учету.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Определение срока полезного использования объекта основных средств производится исходя из: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ожидаемого срока использования этого объекта в соответствии с ожидаемой производительностью или мощностью;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lastRenderedPageBreak/>
        <w:t>ожидаемого физического износа, зависящего от режима эксплуатации (количества смен), естественных условий и влияния агрессивной среды, системы проведения ремонта;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нормативно-правовых и других ограничений использования этого объекта (например, срок аренды).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В случаях улучшения (повышения)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21. Начисление амортизационных отчислений по объекту основных средств начинается с первого числа месяца, следующего за месяцем принятия этого объекта к бухгалтерскому учету, и производится до полного погашения стоимости этого объекта либо списания этого объекта с бухгалтерского учета.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22. Начисление амортизационных отчислений по объекту основных средств прекращается с первого числа месяца, следующего за месяцем полного погашения стоимости этого объекта либо списания этого объекта с бухгалтерского учета.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23. В течение срока полезного использования объекта основных средств начисление амортизационных отчислений не приостанавливается, кроме случаев перевода его по решению руководителя организации на консервацию на срок более трех месяцев, а также в период восстановления объекта, продолжительность которого превышает 12 месяцев.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24. 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периода, к которому оно относится.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25. Суммы начисленной амортизации по объектам основных средств отражаются в бухгалтерском учете путем накопления соответствующих сумм на отдельном счете.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IV. Восстановление основных средств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26. Восстановление объекта основных средств может осуществляться посредством ремонта, модернизации и реконструкции.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27. Затраты на восстановление объекта основных средств отражаются в бухгалтерском учете отчетного периода, к которому они относятся. При этом затраты на модернизацию и реконструкцию объекта основных средств после их окончания увеличивают первоначальную стоимость такого объекта, если в результате модернизации и реконструкции улучшаются (повышаются) первоначально принятые нормативные показатели функционирования (срок полезного использования, мощность, качество применения и т.п.) объекта основных средств.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28. Исключен. -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Приказ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Минфина РФ от 12.12.2005 N 147н.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V. Выбытие основных средств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29. Стоимость объекта основных средств, который выбывает или не способен приносить организации экономические выгоды (доход) в будущем, подлежит списанию с бухгалтерского учета.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Выбытие объекта основных средств имеет место в случае: продажи; прекращения использования вследствие морального или физического износа; ликвидации при аварии, стихийном бедствии и иной чрезвычайной ситуации; передачи в виде вклада в уставный (складочный) капитал другой организации, паевой фонд; передачи по договору мены, дарения; внесения в счет вклада по договору о совместной </w:t>
      </w:r>
      <w:r w:rsidRPr="00EB3D60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деятельности; выявления недостачи или порчи активов при их инвентаризации; частичной ликвидации при выполнении работ по реконструкции; в иных случаях.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30. Если списание объекта основных средств производится в результате его продажи, то выручка от продажи принимается к бухгалтерскому учету в сумме, согласованной сторонами в договоре.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31. Доходы и расходы от списания с бухгалтерского учета объектов основных средств отражаются в бухгалтерском учете в отчетном периоде, к которому они относятся. Доходы и расходы от списания объектов основных средств с бухгалтерского учета подлежат зачислению на счет прибылей и убытков в качестве прочих доходов и расходов.</w:t>
      </w:r>
    </w:p>
    <w:p w:rsidR="00BE5AFA" w:rsidRPr="00EB3D60" w:rsidRDefault="00BE5AFA" w:rsidP="00BE5AFA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116н)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VI. Раскрытие информации в бухгалтерской отчетности</w:t>
      </w:r>
    </w:p>
    <w:p w:rsidR="00BE5AFA" w:rsidRPr="00EB3D60" w:rsidRDefault="00BE5AFA" w:rsidP="00BE5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32. В бухгалтерской отчетности подлежит раскрытию с учетом существенности, как минимум, следующая информация: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 первоначальной стоимости и сумме начисленной амортизации по основным группам основных средств на начало и конец отчетного года;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 движении основных средств в течение отчетного года по основным группам (поступление, выбытие и т.п.);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о способах оценки объектов основных средств, полученных по договорам, предусматривающим исполнение обязательств (оплату) </w:t>
      </w:r>
      <w:proofErr w:type="spellStart"/>
      <w:r w:rsidRPr="00EB3D60">
        <w:rPr>
          <w:rFonts w:ascii="Times New Roman" w:eastAsia="Times New Roman" w:hAnsi="Times New Roman" w:cs="Times New Roman"/>
          <w:sz w:val="28"/>
          <w:szCs w:val="28"/>
        </w:rPr>
        <w:t>неденежными</w:t>
      </w:r>
      <w:proofErr w:type="spellEnd"/>
      <w:r w:rsidRPr="00EB3D60">
        <w:rPr>
          <w:rFonts w:ascii="Times New Roman" w:eastAsia="Times New Roman" w:hAnsi="Times New Roman" w:cs="Times New Roman"/>
          <w:sz w:val="28"/>
          <w:szCs w:val="28"/>
        </w:rPr>
        <w:t xml:space="preserve"> средствами;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об изменениях стоимости основных средств, в которой они приняты к бухгалтерскому учету (достройка, дооборудование, реконструкция, частичная ликвидация и переоценка объектов);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 принятых организацией сроках полезного использования объектов основных средств (по основным группам);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об объектах основных средств, стоимость которых не погашается;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об объектах основных средств, предоставленных и полученных по договору аренды;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об объектах основных средств, учитываемых в составе доходных вложений в материальные ценности;</w:t>
      </w:r>
    </w:p>
    <w:p w:rsidR="00BE5AFA" w:rsidRPr="00EB3D60" w:rsidRDefault="00BE5AFA" w:rsidP="00BE5AFA">
      <w:pPr>
        <w:spacing w:after="48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(абзац введен </w:t>
      </w:r>
      <w:r w:rsidRPr="00EB3D60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Приказом</w:t>
      </w:r>
      <w:r w:rsidRPr="00EB3D60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12.12.2005 N 147н)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 способах начисления амортизационных отчислений по отдельным группам объектов основных средств;</w:t>
      </w:r>
    </w:p>
    <w:p w:rsidR="00BE5AFA" w:rsidRPr="00EB3D60" w:rsidRDefault="00BE5AFA" w:rsidP="00BE5A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об объектах недвижимости, принятых в эксплуатацию и фактически используемых, находящихся в процессе государственной регистрации.</w:t>
      </w:r>
    </w:p>
    <w:p w:rsidR="00BE5AFA" w:rsidRPr="00EB3D60" w:rsidRDefault="00BE5AFA" w:rsidP="00BE5A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D6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70C0" w:rsidRPr="00EB3D60" w:rsidRDefault="000270C0">
      <w:pPr>
        <w:rPr>
          <w:rFonts w:ascii="Times New Roman" w:hAnsi="Times New Roman" w:cs="Times New Roman"/>
          <w:sz w:val="28"/>
          <w:szCs w:val="28"/>
        </w:rPr>
      </w:pPr>
    </w:p>
    <w:sectPr w:rsidR="000270C0" w:rsidRPr="00EB3D60" w:rsidSect="00C6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5AFA"/>
    <w:rsid w:val="000270C0"/>
    <w:rsid w:val="00BE5AFA"/>
    <w:rsid w:val="00C67681"/>
    <w:rsid w:val="00EB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95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3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40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5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3419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Hvatkova</dc:creator>
  <cp:keywords/>
  <dc:description/>
  <cp:lastModifiedBy>Hvatkova</cp:lastModifiedBy>
  <cp:revision>5</cp:revision>
  <dcterms:created xsi:type="dcterms:W3CDTF">2015-10-16T14:27:00Z</dcterms:created>
  <dcterms:modified xsi:type="dcterms:W3CDTF">2015-10-19T06:43:00Z</dcterms:modified>
</cp:coreProperties>
</file>